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FA" w:rsidRPr="007547FA" w:rsidRDefault="00A31C8F">
      <w:pPr>
        <w:contextualSpacing w:val="0"/>
        <w:jc w:val="center"/>
        <w:rPr>
          <w:sz w:val="28"/>
          <w:szCs w:val="32"/>
        </w:rPr>
      </w:pPr>
      <w:r w:rsidRPr="007547FA">
        <w:rPr>
          <w:noProof/>
          <w:sz w:val="28"/>
          <w:szCs w:val="32"/>
        </w:rPr>
        <w:drawing>
          <wp:anchor distT="0" distB="0" distL="114300" distR="114300" simplePos="0" relativeHeight="251660288" behindDoc="0" locked="0" layoutInCell="1" allowOverlap="1">
            <wp:simplePos x="0" y="0"/>
            <wp:positionH relativeFrom="column">
              <wp:posOffset>427</wp:posOffset>
            </wp:positionH>
            <wp:positionV relativeFrom="paragraph">
              <wp:posOffset>223832</wp:posOffset>
            </wp:positionV>
            <wp:extent cx="899410" cy="554772"/>
            <wp:effectExtent l="0" t="0" r="0" b="0"/>
            <wp:wrapNone/>
            <wp:docPr id="21" name="Picture 7" descr="Image result for Oasis Community Learning"/>
            <wp:cNvGraphicFramePr/>
            <a:graphic xmlns:a="http://schemas.openxmlformats.org/drawingml/2006/main">
              <a:graphicData uri="http://schemas.openxmlformats.org/drawingml/2006/picture">
                <pic:pic xmlns:pic="http://schemas.openxmlformats.org/drawingml/2006/picture">
                  <pic:nvPicPr>
                    <pic:cNvPr id="8" name="Picture 7" descr="Image result for Oasis Community Learning"/>
                    <pic:cNvPicPr/>
                  </pic:nvPicPr>
                  <pic:blipFill rotWithShape="1">
                    <a:blip r:embed="rId5" cstate="print">
                      <a:extLst>
                        <a:ext uri="{28A0092B-C50C-407E-A947-70E740481C1C}">
                          <a14:useLocalDpi xmlns:a14="http://schemas.microsoft.com/office/drawing/2010/main" val="0"/>
                        </a:ext>
                      </a:extLst>
                    </a:blip>
                    <a:srcRect l="51593" r="2317"/>
                    <a:stretch/>
                  </pic:blipFill>
                  <pic:spPr bwMode="auto">
                    <a:xfrm>
                      <a:off x="0" y="0"/>
                      <a:ext cx="899410" cy="5547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7FA">
        <w:rPr>
          <w:noProof/>
          <w:sz w:val="28"/>
          <w:szCs w:val="32"/>
        </w:rPr>
        <mc:AlternateContent>
          <mc:Choice Requires="wps">
            <w:drawing>
              <wp:anchor distT="0" distB="0" distL="114300" distR="114300" simplePos="0" relativeHeight="251656192" behindDoc="0" locked="0" layoutInCell="1" allowOverlap="1">
                <wp:simplePos x="0" y="0"/>
                <wp:positionH relativeFrom="column">
                  <wp:posOffset>-180392</wp:posOffset>
                </wp:positionH>
                <wp:positionV relativeFrom="paragraph">
                  <wp:posOffset>74493</wp:posOffset>
                </wp:positionV>
                <wp:extent cx="1214203" cy="1109272"/>
                <wp:effectExtent l="57150" t="19050" r="81280" b="91440"/>
                <wp:wrapNone/>
                <wp:docPr id="8" name="Oval 8"/>
                <wp:cNvGraphicFramePr/>
                <a:graphic xmlns:a="http://schemas.openxmlformats.org/drawingml/2006/main">
                  <a:graphicData uri="http://schemas.microsoft.com/office/word/2010/wordprocessingShape">
                    <wps:wsp>
                      <wps:cNvSpPr/>
                      <wps:spPr>
                        <a:xfrm>
                          <a:off x="0" y="0"/>
                          <a:ext cx="1214203" cy="1109272"/>
                        </a:xfrm>
                        <a:prstGeom prst="ellipse">
                          <a:avLst/>
                        </a:prstGeom>
                        <a:solidFill>
                          <a:srgbClr val="00206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DA4939" id="Oval 8" o:spid="_x0000_s1026" style="position:absolute;margin-left:-14.2pt;margin-top:5.85pt;width:95.6pt;height:87.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" fillcolor="#002060" strokecolor="#4579b8 [3044]">
                <v:shadow on="t" color="black" opacity="22937f" origin=",.5" offset="0,.63889mm"/>
              </v:oval>
            </w:pict>
          </mc:Fallback>
        </mc:AlternateContent>
      </w:r>
      <w:r w:rsidR="00E52AD9" w:rsidRPr="007547FA">
        <w:rPr>
          <w:sz w:val="28"/>
          <w:szCs w:val="32"/>
        </w:rPr>
        <w:t xml:space="preserve"> </w:t>
      </w:r>
    </w:p>
    <w:p w:rsidR="00F86C21" w:rsidRPr="00E76F1F" w:rsidRDefault="00A31C8F">
      <w:pPr>
        <w:contextualSpacing w:val="0"/>
        <w:jc w:val="center"/>
        <w:rPr>
          <w:sz w:val="56"/>
          <w:szCs w:val="32"/>
        </w:rPr>
      </w:pPr>
      <w:r w:rsidRPr="00E76F1F">
        <w:rPr>
          <w:noProof/>
          <w:sz w:val="56"/>
          <w:szCs w:val="32"/>
        </w:rPr>
        <mc:AlternateContent>
          <mc:Choice Requires="wps">
            <w:drawing>
              <wp:anchor distT="0" distB="0" distL="114300" distR="114300" simplePos="0" relativeHeight="251658240" behindDoc="0" locked="0" layoutInCell="1" allowOverlap="1" wp14:anchorId="47F4F14C" wp14:editId="1AD9C701">
                <wp:simplePos x="0" y="0"/>
                <wp:positionH relativeFrom="column">
                  <wp:posOffset>-30345</wp:posOffset>
                </wp:positionH>
                <wp:positionV relativeFrom="paragraph">
                  <wp:posOffset>448206</wp:posOffset>
                </wp:positionV>
                <wp:extent cx="1752403" cy="707886"/>
                <wp:effectExtent l="0" t="0" r="0" b="0"/>
                <wp:wrapNone/>
                <wp:docPr id="22" name="Rectangle 2"/>
                <wp:cNvGraphicFramePr/>
                <a:graphic xmlns:a="http://schemas.openxmlformats.org/drawingml/2006/main">
                  <a:graphicData uri="http://schemas.microsoft.com/office/word/2010/wordprocessingShape">
                    <wps:wsp>
                      <wps:cNvSpPr/>
                      <wps:spPr>
                        <a:xfrm>
                          <a:off x="0" y="0"/>
                          <a:ext cx="1752403" cy="707886"/>
                        </a:xfrm>
                        <a:prstGeom prst="rect">
                          <a:avLst/>
                        </a:prstGeom>
                      </wps:spPr>
                      <wps:txbx>
                        <w:txbxContent>
                          <w:p w:rsidR="00A31C8F" w:rsidRPr="00A31C8F" w:rsidRDefault="00A31C8F" w:rsidP="00A31C8F">
                            <w:pPr>
                              <w:pStyle w:val="NormalWeb"/>
                              <w:spacing w:before="0" w:beforeAutospacing="0" w:after="0" w:afterAutospacing="0"/>
                              <w:rPr>
                                <w:sz w:val="12"/>
                              </w:rPr>
                            </w:pPr>
                            <w:r w:rsidRPr="00A31C8F">
                              <w:rPr>
                                <w:rFonts w:eastAsia="Arial"/>
                                <w:color w:val="FFFFFF" w:themeColor="background1"/>
                                <w:sz w:val="40"/>
                                <w:szCs w:val="80"/>
                                <w:lang w:val="en-US"/>
                              </w:rPr>
                              <w:t>English</w:t>
                            </w:r>
                          </w:p>
                        </w:txbxContent>
                      </wps:txbx>
                      <wps:bodyPr wrap="none">
                        <a:spAutoFit/>
                      </wps:bodyPr>
                    </wps:wsp>
                  </a:graphicData>
                </a:graphic>
              </wp:anchor>
            </w:drawing>
          </mc:Choice>
          <mc:Fallback>
            <w:pict>
              <v:rect w14:anchorId="47F4F14C" id="Rectangle 2" o:spid="_x0000_s1026" style="position:absolute;left:0;text-align:left;margin-left:-2.4pt;margin-top:35.3pt;width:138pt;height:55.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" filled="f" stroked="f">
                <v:textbox style="mso-fit-shape-to-text:t">
                  <w:txbxContent>
                    <w:p w:rsidR="00A31C8F" w:rsidRPr="00A31C8F" w:rsidRDefault="00A31C8F" w:rsidP="00A31C8F">
                      <w:pPr>
                        <w:pStyle w:val="NormalWeb"/>
                        <w:spacing w:before="0" w:beforeAutospacing="0" w:after="0" w:afterAutospacing="0"/>
                        <w:rPr>
                          <w:sz w:val="12"/>
                        </w:rPr>
                      </w:pPr>
                      <w:r w:rsidRPr="00A31C8F">
                        <w:rPr>
                          <w:rFonts w:eastAsia="Arial"/>
                          <w:color w:val="FFFFFF" w:themeColor="background1"/>
                          <w:sz w:val="40"/>
                          <w:szCs w:val="80"/>
                          <w:lang w:val="en-US"/>
                        </w:rPr>
                        <w:t>English</w:t>
                      </w:r>
                    </w:p>
                  </w:txbxContent>
                </v:textbox>
              </v:rect>
            </w:pict>
          </mc:Fallback>
        </mc:AlternateContent>
      </w:r>
      <w:r w:rsidR="00E76F1F" w:rsidRPr="00E76F1F">
        <w:rPr>
          <w:noProof/>
          <w:sz w:val="56"/>
          <w:szCs w:val="32"/>
        </w:rPr>
        <w:t>Power  &amp; Conflict Poetry</w:t>
      </w:r>
    </w:p>
    <w:p w:rsidR="00F86C21" w:rsidRPr="007547FA" w:rsidRDefault="00E52AD9">
      <w:pPr>
        <w:contextualSpacing w:val="0"/>
        <w:jc w:val="center"/>
        <w:rPr>
          <w:b/>
          <w:i/>
          <w:sz w:val="28"/>
          <w:szCs w:val="32"/>
        </w:rPr>
      </w:pPr>
      <w:r w:rsidRPr="007547FA">
        <w:rPr>
          <w:b/>
          <w:i/>
          <w:sz w:val="28"/>
          <w:szCs w:val="32"/>
        </w:rPr>
        <w:t>The Mo</w:t>
      </w:r>
      <w:r w:rsidR="00E76F1F">
        <w:rPr>
          <w:b/>
          <w:i/>
          <w:sz w:val="28"/>
          <w:szCs w:val="32"/>
        </w:rPr>
        <w:t>st Revealing Moments in the Texts</w:t>
      </w:r>
    </w:p>
    <w:p w:rsidR="00E52AD9" w:rsidRDefault="00E52AD9">
      <w:pPr>
        <w:contextualSpacing w:val="0"/>
        <w:jc w:val="center"/>
        <w:rPr>
          <w:b/>
          <w:i/>
          <w:sz w:val="28"/>
          <w:szCs w:val="32"/>
        </w:rPr>
      </w:pPr>
    </w:p>
    <w:p w:rsidR="00FB3967" w:rsidRPr="00FB3967" w:rsidRDefault="00FB3967" w:rsidP="00FB3967">
      <w:pPr>
        <w:pStyle w:val="ListParagraph"/>
        <w:numPr>
          <w:ilvl w:val="0"/>
          <w:numId w:val="12"/>
        </w:numPr>
        <w:contextualSpacing w:val="0"/>
        <w:jc w:val="center"/>
        <w:rPr>
          <w:b/>
          <w:i/>
          <w:sz w:val="28"/>
          <w:szCs w:val="32"/>
        </w:rPr>
      </w:pPr>
      <w:r w:rsidRPr="00FB3967">
        <w:rPr>
          <w:b/>
          <w:i/>
          <w:sz w:val="28"/>
          <w:szCs w:val="32"/>
        </w:rPr>
        <w:t>Power</w:t>
      </w:r>
    </w:p>
    <w:p w:rsidR="006F7E1A" w:rsidRPr="007547FA" w:rsidRDefault="006F7E1A" w:rsidP="0018017C">
      <w:pPr>
        <w:contextualSpacing w:val="0"/>
        <w:rPr>
          <w:b/>
          <w:i/>
          <w:sz w:val="28"/>
          <w:szCs w:val="32"/>
        </w:rPr>
      </w:pPr>
    </w:p>
    <w:tbl>
      <w:tblPr>
        <w:tblStyle w:val="TableGrid"/>
        <w:tblW w:w="10610" w:type="dxa"/>
        <w:tblLook w:val="04A0" w:firstRow="1" w:lastRow="0" w:firstColumn="1" w:lastColumn="0" w:noHBand="0" w:noVBand="1"/>
      </w:tblPr>
      <w:tblGrid>
        <w:gridCol w:w="10610"/>
      </w:tblGrid>
      <w:tr w:rsidR="0018017C" w:rsidRPr="007547FA" w:rsidTr="0018017C">
        <w:trPr>
          <w:trHeight w:val="260"/>
        </w:trPr>
        <w:tc>
          <w:tcPr>
            <w:tcW w:w="10610" w:type="dxa"/>
            <w:shd w:val="clear" w:color="auto" w:fill="002060"/>
          </w:tcPr>
          <w:p w:rsidR="0018017C" w:rsidRPr="007547FA" w:rsidRDefault="0018017C" w:rsidP="00E52AD9">
            <w:pPr>
              <w:contextualSpacing w:val="0"/>
              <w:jc w:val="center"/>
              <w:rPr>
                <w:sz w:val="28"/>
                <w:szCs w:val="32"/>
              </w:rPr>
            </w:pPr>
            <w:r>
              <w:rPr>
                <w:sz w:val="28"/>
                <w:szCs w:val="32"/>
              </w:rPr>
              <w:t xml:space="preserve">Shelley’s </w:t>
            </w:r>
            <w:r w:rsidRPr="00AF52B4">
              <w:rPr>
                <w:i/>
                <w:sz w:val="28"/>
                <w:szCs w:val="32"/>
              </w:rPr>
              <w:t>Ozymandias</w:t>
            </w:r>
          </w:p>
        </w:tc>
      </w:tr>
      <w:tr w:rsidR="0018017C" w:rsidRPr="007547FA" w:rsidTr="0018017C">
        <w:trPr>
          <w:trHeight w:val="712"/>
        </w:trPr>
        <w:tc>
          <w:tcPr>
            <w:tcW w:w="10610" w:type="dxa"/>
          </w:tcPr>
          <w:p w:rsidR="0018017C" w:rsidRPr="00326E81" w:rsidRDefault="0018017C" w:rsidP="00326E81">
            <w:pPr>
              <w:pStyle w:val="ListParagraph"/>
              <w:numPr>
                <w:ilvl w:val="0"/>
                <w:numId w:val="9"/>
              </w:numPr>
              <w:rPr>
                <w:sz w:val="18"/>
                <w:szCs w:val="18"/>
              </w:rPr>
            </w:pPr>
            <w:r w:rsidRPr="00326E81">
              <w:rPr>
                <w:rFonts w:asciiTheme="majorHAnsi" w:hAnsiTheme="majorHAnsi" w:cstheme="majorHAnsi"/>
                <w:sz w:val="18"/>
                <w:szCs w:val="18"/>
              </w:rPr>
              <w:t>In the opening lines of Ozymandias, Shelley uses the decaying statue of Ozymandias as a metaphor to explore the fragility of human accomplishments and how they are gradually consumed by the natural world.</w:t>
            </w:r>
          </w:p>
        </w:tc>
      </w:tr>
      <w:tr w:rsidR="0018017C" w:rsidRPr="007547FA" w:rsidTr="0018017C">
        <w:trPr>
          <w:trHeight w:val="732"/>
        </w:trPr>
        <w:tc>
          <w:tcPr>
            <w:tcW w:w="10610" w:type="dxa"/>
          </w:tcPr>
          <w:p w:rsidR="0018017C" w:rsidRPr="00920D46" w:rsidRDefault="0018017C" w:rsidP="00920D46">
            <w:pPr>
              <w:pStyle w:val="ListParagraph"/>
              <w:numPr>
                <w:ilvl w:val="0"/>
                <w:numId w:val="9"/>
              </w:numPr>
              <w:rPr>
                <w:rFonts w:asciiTheme="majorHAnsi" w:hAnsiTheme="majorHAnsi" w:cstheme="majorHAnsi"/>
                <w:sz w:val="18"/>
                <w:szCs w:val="18"/>
              </w:rPr>
            </w:pPr>
            <w:r w:rsidRPr="00326E81">
              <w:rPr>
                <w:rFonts w:asciiTheme="majorHAnsi" w:hAnsiTheme="majorHAnsi" w:cstheme="majorHAnsi"/>
                <w:sz w:val="18"/>
                <w:szCs w:val="18"/>
              </w:rPr>
              <w:t>Shelley develops this theme to expose the tyranny of caeserism that he saw in his society, exposing it to be both cruel and unjust.</w:t>
            </w:r>
            <w:r>
              <w:rPr>
                <w:rFonts w:asciiTheme="majorHAnsi" w:hAnsiTheme="majorHAnsi" w:cstheme="majorHAnsi"/>
                <w:sz w:val="18"/>
                <w:szCs w:val="18"/>
              </w:rPr>
              <w:t xml:space="preserve"> </w:t>
            </w:r>
            <w:r w:rsidRPr="00920D46">
              <w:rPr>
                <w:rFonts w:asciiTheme="majorHAnsi" w:hAnsiTheme="majorHAnsi" w:cstheme="majorHAnsi"/>
                <w:b/>
                <w:sz w:val="18"/>
                <w:szCs w:val="18"/>
              </w:rPr>
              <w:t>OR</w:t>
            </w:r>
            <w:r>
              <w:rPr>
                <w:rFonts w:asciiTheme="majorHAnsi" w:hAnsiTheme="majorHAnsi" w:cstheme="majorHAnsi"/>
                <w:b/>
                <w:sz w:val="18"/>
                <w:szCs w:val="18"/>
              </w:rPr>
              <w:t xml:space="preserve"> </w:t>
            </w:r>
            <w:r w:rsidRPr="00920D46">
              <w:rPr>
                <w:rFonts w:asciiTheme="majorHAnsi" w:hAnsiTheme="majorHAnsi" w:cstheme="majorHAnsi"/>
                <w:i/>
                <w:iCs/>
                <w:sz w:val="18"/>
                <w:szCs w:val="18"/>
              </w:rPr>
              <w:t xml:space="preserve">Shelley uses the statue of Ozymandias to critique the cruelty and arrogance of those who desire power and immortality. </w:t>
            </w:r>
          </w:p>
          <w:p w:rsidR="0018017C" w:rsidRPr="00920D46" w:rsidRDefault="0018017C" w:rsidP="00920D46">
            <w:pPr>
              <w:rPr>
                <w:rFonts w:asciiTheme="majorHAnsi" w:hAnsiTheme="majorHAnsi" w:cstheme="majorHAnsi"/>
                <w:sz w:val="18"/>
                <w:szCs w:val="18"/>
              </w:rPr>
            </w:pPr>
          </w:p>
        </w:tc>
      </w:tr>
      <w:tr w:rsidR="0018017C" w:rsidRPr="007547FA" w:rsidTr="0018017C">
        <w:trPr>
          <w:trHeight w:val="534"/>
        </w:trPr>
        <w:tc>
          <w:tcPr>
            <w:tcW w:w="10610" w:type="dxa"/>
          </w:tcPr>
          <w:p w:rsidR="0018017C" w:rsidRPr="00326E81" w:rsidRDefault="0018017C" w:rsidP="00326E81">
            <w:pPr>
              <w:pStyle w:val="ListParagraph"/>
              <w:numPr>
                <w:ilvl w:val="0"/>
                <w:numId w:val="9"/>
              </w:numPr>
              <w:contextualSpacing w:val="0"/>
              <w:rPr>
                <w:sz w:val="18"/>
                <w:szCs w:val="18"/>
              </w:rPr>
            </w:pPr>
            <w:r w:rsidRPr="00326E81">
              <w:rPr>
                <w:rFonts w:asciiTheme="majorHAnsi" w:hAnsiTheme="majorHAnsi" w:cstheme="majorHAnsi"/>
                <w:sz w:val="18"/>
                <w:szCs w:val="18"/>
              </w:rPr>
              <w:t>Finally Shelley juxtaposes the human desire for immortalisation with the reality of human transience in the face of the terrifying power of nature.</w:t>
            </w:r>
          </w:p>
        </w:tc>
      </w:tr>
    </w:tbl>
    <w:p w:rsidR="00F86C21" w:rsidRDefault="00F86C21">
      <w:pPr>
        <w:rPr>
          <w:sz w:val="28"/>
          <w:szCs w:val="32"/>
        </w:rPr>
      </w:pPr>
    </w:p>
    <w:tbl>
      <w:tblPr>
        <w:tblStyle w:val="TableGrid"/>
        <w:tblW w:w="10593" w:type="dxa"/>
        <w:tblLook w:val="04A0" w:firstRow="1" w:lastRow="0" w:firstColumn="1" w:lastColumn="0" w:noHBand="0" w:noVBand="1"/>
      </w:tblPr>
      <w:tblGrid>
        <w:gridCol w:w="10593"/>
      </w:tblGrid>
      <w:tr w:rsidR="0018017C" w:rsidRPr="007547FA" w:rsidTr="0018017C">
        <w:trPr>
          <w:trHeight w:val="241"/>
        </w:trPr>
        <w:tc>
          <w:tcPr>
            <w:tcW w:w="10593" w:type="dxa"/>
            <w:shd w:val="clear" w:color="auto" w:fill="002060"/>
          </w:tcPr>
          <w:p w:rsidR="0018017C" w:rsidRPr="007547FA" w:rsidRDefault="0018017C" w:rsidP="00326E81">
            <w:pPr>
              <w:contextualSpacing w:val="0"/>
              <w:jc w:val="center"/>
              <w:rPr>
                <w:sz w:val="28"/>
                <w:szCs w:val="32"/>
              </w:rPr>
            </w:pPr>
            <w:r>
              <w:rPr>
                <w:sz w:val="28"/>
                <w:szCs w:val="32"/>
              </w:rPr>
              <w:t xml:space="preserve">Browning’s </w:t>
            </w:r>
            <w:r w:rsidRPr="00AF52B4">
              <w:rPr>
                <w:i/>
                <w:sz w:val="28"/>
                <w:szCs w:val="32"/>
              </w:rPr>
              <w:t>My Last Duchess</w:t>
            </w:r>
          </w:p>
        </w:tc>
      </w:tr>
      <w:tr w:rsidR="0018017C" w:rsidRPr="007547FA" w:rsidTr="0018017C">
        <w:trPr>
          <w:trHeight w:val="827"/>
        </w:trPr>
        <w:tc>
          <w:tcPr>
            <w:tcW w:w="10593" w:type="dxa"/>
          </w:tcPr>
          <w:p w:rsidR="0018017C" w:rsidRPr="00055A10" w:rsidRDefault="0018017C" w:rsidP="00055A10">
            <w:pPr>
              <w:pStyle w:val="ListParagraph"/>
              <w:numPr>
                <w:ilvl w:val="0"/>
                <w:numId w:val="17"/>
              </w:numPr>
              <w:rPr>
                <w:rFonts w:asciiTheme="majorHAnsi" w:hAnsiTheme="majorHAnsi" w:cstheme="majorHAnsi"/>
                <w:sz w:val="18"/>
                <w:szCs w:val="20"/>
              </w:rPr>
            </w:pPr>
            <w:r w:rsidRPr="00055A10">
              <w:rPr>
                <w:rFonts w:asciiTheme="majorHAnsi" w:hAnsiTheme="majorHAnsi" w:cstheme="majorHAnsi"/>
                <w:sz w:val="18"/>
                <w:szCs w:val="20"/>
              </w:rPr>
              <w:t>In the opening of My Last Duchess, an exploration of the violent objectification of women, Browning traces the speaker’s desire to exert full physical and psychological control over his dead wife</w:t>
            </w:r>
            <w:r>
              <w:rPr>
                <w:rFonts w:asciiTheme="majorHAnsi" w:hAnsiTheme="majorHAnsi" w:cstheme="majorHAnsi"/>
                <w:sz w:val="18"/>
                <w:szCs w:val="20"/>
              </w:rPr>
              <w:t xml:space="preserve"> through her portrait</w:t>
            </w:r>
            <w:r w:rsidRPr="00055A10">
              <w:rPr>
                <w:rFonts w:asciiTheme="majorHAnsi" w:hAnsiTheme="majorHAnsi" w:cstheme="majorHAnsi"/>
                <w:sz w:val="18"/>
                <w:szCs w:val="20"/>
              </w:rPr>
              <w:t>.</w:t>
            </w:r>
          </w:p>
          <w:p w:rsidR="0018017C" w:rsidRPr="00FB3967" w:rsidRDefault="0018017C" w:rsidP="00055A10">
            <w:pPr>
              <w:rPr>
                <w:rFonts w:asciiTheme="majorHAnsi" w:hAnsiTheme="majorHAnsi" w:cstheme="majorHAnsi"/>
                <w:sz w:val="18"/>
                <w:szCs w:val="24"/>
              </w:rPr>
            </w:pPr>
          </w:p>
        </w:tc>
      </w:tr>
      <w:tr w:rsidR="0018017C" w:rsidRPr="007547FA" w:rsidTr="0018017C">
        <w:trPr>
          <w:trHeight w:val="662"/>
        </w:trPr>
        <w:tc>
          <w:tcPr>
            <w:tcW w:w="10593" w:type="dxa"/>
          </w:tcPr>
          <w:p w:rsidR="0018017C" w:rsidRPr="00055A10" w:rsidRDefault="0018017C" w:rsidP="00055A10">
            <w:pPr>
              <w:pStyle w:val="ListParagraph"/>
              <w:numPr>
                <w:ilvl w:val="0"/>
                <w:numId w:val="17"/>
              </w:numPr>
              <w:rPr>
                <w:rFonts w:asciiTheme="majorHAnsi" w:hAnsiTheme="majorHAnsi" w:cstheme="majorHAnsi"/>
                <w:sz w:val="18"/>
                <w:szCs w:val="20"/>
              </w:rPr>
            </w:pPr>
            <w:r w:rsidRPr="00055A10">
              <w:rPr>
                <w:rFonts w:asciiTheme="majorHAnsi" w:hAnsiTheme="majorHAnsi" w:cstheme="majorHAnsi"/>
                <w:sz w:val="18"/>
                <w:szCs w:val="20"/>
              </w:rPr>
              <w:t xml:space="preserve">The Duke then reveals his fear and revulsion at female sexuality, distastefully criticising the Duchess and slighting her honour, and revealing fragile ego and arrogant desire for status and possession. </w:t>
            </w:r>
          </w:p>
        </w:tc>
      </w:tr>
      <w:tr w:rsidR="0018017C" w:rsidRPr="007547FA" w:rsidTr="0018017C">
        <w:trPr>
          <w:trHeight w:val="662"/>
        </w:trPr>
        <w:tc>
          <w:tcPr>
            <w:tcW w:w="10593" w:type="dxa"/>
          </w:tcPr>
          <w:p w:rsidR="0018017C" w:rsidRPr="00055A10" w:rsidRDefault="0018017C" w:rsidP="00055A10">
            <w:pPr>
              <w:pStyle w:val="ListParagraph"/>
              <w:numPr>
                <w:ilvl w:val="0"/>
                <w:numId w:val="17"/>
              </w:numPr>
              <w:rPr>
                <w:rFonts w:asciiTheme="majorHAnsi" w:hAnsiTheme="majorHAnsi" w:cstheme="majorHAnsi"/>
                <w:sz w:val="18"/>
                <w:szCs w:val="24"/>
              </w:rPr>
            </w:pPr>
            <w:r w:rsidRPr="00055A10">
              <w:rPr>
                <w:rFonts w:asciiTheme="majorHAnsi" w:hAnsiTheme="majorHAnsi" w:cstheme="majorHAnsi"/>
                <w:sz w:val="18"/>
                <w:szCs w:val="20"/>
              </w:rPr>
              <w:t>Finally Browning reveals the speakers cold malice: how his jealousy turned to murder and how his impulse for ownership resulted in the final “taming” of the Duchess as a piece of art</w:t>
            </w:r>
            <w:r w:rsidRPr="00055A10">
              <w:rPr>
                <w:rFonts w:asciiTheme="majorHAnsi" w:hAnsiTheme="majorHAnsi" w:cstheme="majorHAnsi"/>
                <w:iCs/>
                <w:sz w:val="18"/>
                <w:szCs w:val="24"/>
                <w:lang w:val="en-US"/>
              </w:rPr>
              <w:t>.</w:t>
            </w:r>
          </w:p>
        </w:tc>
      </w:tr>
    </w:tbl>
    <w:p w:rsidR="00326E81" w:rsidRPr="007547FA" w:rsidRDefault="00326E81">
      <w:pPr>
        <w:rPr>
          <w:sz w:val="28"/>
          <w:szCs w:val="32"/>
        </w:rPr>
      </w:pPr>
    </w:p>
    <w:tbl>
      <w:tblPr>
        <w:tblStyle w:val="TableGrid"/>
        <w:tblW w:w="10577" w:type="dxa"/>
        <w:tblLook w:val="04A0" w:firstRow="1" w:lastRow="0" w:firstColumn="1" w:lastColumn="0" w:noHBand="0" w:noVBand="1"/>
      </w:tblPr>
      <w:tblGrid>
        <w:gridCol w:w="10577"/>
      </w:tblGrid>
      <w:tr w:rsidR="0018017C" w:rsidRPr="007547FA" w:rsidTr="0018017C">
        <w:trPr>
          <w:trHeight w:val="324"/>
        </w:trPr>
        <w:tc>
          <w:tcPr>
            <w:tcW w:w="10577" w:type="dxa"/>
            <w:shd w:val="clear" w:color="auto" w:fill="002060"/>
          </w:tcPr>
          <w:p w:rsidR="0018017C" w:rsidRPr="007547FA" w:rsidRDefault="0018017C" w:rsidP="00E90539">
            <w:pPr>
              <w:contextualSpacing w:val="0"/>
              <w:jc w:val="center"/>
              <w:rPr>
                <w:sz w:val="28"/>
                <w:szCs w:val="32"/>
              </w:rPr>
            </w:pPr>
            <w:r>
              <w:rPr>
                <w:sz w:val="28"/>
                <w:szCs w:val="32"/>
              </w:rPr>
              <w:t xml:space="preserve">Blake’s </w:t>
            </w:r>
            <w:r w:rsidRPr="00AF52B4">
              <w:rPr>
                <w:i/>
                <w:sz w:val="28"/>
                <w:szCs w:val="32"/>
              </w:rPr>
              <w:t>London</w:t>
            </w:r>
          </w:p>
        </w:tc>
      </w:tr>
      <w:tr w:rsidR="0018017C" w:rsidRPr="007547FA" w:rsidTr="0018017C">
        <w:trPr>
          <w:trHeight w:val="890"/>
        </w:trPr>
        <w:tc>
          <w:tcPr>
            <w:tcW w:w="10577" w:type="dxa"/>
          </w:tcPr>
          <w:p w:rsidR="0018017C" w:rsidRPr="00326E81" w:rsidRDefault="0018017C" w:rsidP="00326E81">
            <w:pPr>
              <w:pStyle w:val="ListParagraph"/>
              <w:numPr>
                <w:ilvl w:val="0"/>
                <w:numId w:val="10"/>
              </w:numPr>
              <w:rPr>
                <w:rFonts w:asciiTheme="majorHAnsi" w:hAnsiTheme="majorHAnsi" w:cstheme="majorHAnsi"/>
                <w:sz w:val="18"/>
                <w:szCs w:val="24"/>
              </w:rPr>
            </w:pPr>
            <w:r w:rsidRPr="00326E81">
              <w:rPr>
                <w:rFonts w:asciiTheme="majorHAnsi" w:hAnsiTheme="majorHAnsi" w:cstheme="majorHAnsi"/>
                <w:iCs/>
                <w:sz w:val="18"/>
                <w:szCs w:val="24"/>
                <w:lang w:val="en-US"/>
              </w:rPr>
              <w:t>Blake opens the poem with the speaker mourning the loss of his city: the wonder and wild beauty of London is shown to be lost to rationalism, modernity and work.</w:t>
            </w:r>
          </w:p>
          <w:p w:rsidR="0018017C" w:rsidRPr="00326E81" w:rsidRDefault="0018017C" w:rsidP="00326E81">
            <w:pPr>
              <w:contextualSpacing w:val="0"/>
              <w:rPr>
                <w:rFonts w:asciiTheme="majorHAnsi" w:hAnsiTheme="majorHAnsi" w:cstheme="majorHAnsi"/>
                <w:sz w:val="18"/>
                <w:szCs w:val="24"/>
              </w:rPr>
            </w:pPr>
          </w:p>
        </w:tc>
      </w:tr>
      <w:tr w:rsidR="0018017C" w:rsidRPr="007547FA" w:rsidTr="0018017C">
        <w:trPr>
          <w:trHeight w:val="281"/>
        </w:trPr>
        <w:tc>
          <w:tcPr>
            <w:tcW w:w="10577" w:type="dxa"/>
          </w:tcPr>
          <w:p w:rsidR="0018017C" w:rsidRPr="00326E81" w:rsidRDefault="0018017C" w:rsidP="00326E81">
            <w:pPr>
              <w:pStyle w:val="ListParagraph"/>
              <w:numPr>
                <w:ilvl w:val="0"/>
                <w:numId w:val="10"/>
              </w:numPr>
              <w:contextualSpacing w:val="0"/>
              <w:rPr>
                <w:rFonts w:asciiTheme="majorHAnsi" w:hAnsiTheme="majorHAnsi" w:cstheme="majorHAnsi"/>
                <w:sz w:val="18"/>
                <w:szCs w:val="24"/>
              </w:rPr>
            </w:pPr>
            <w:r w:rsidRPr="00326E81">
              <w:rPr>
                <w:rFonts w:asciiTheme="majorHAnsi" w:hAnsiTheme="majorHAnsi" w:cstheme="majorHAnsi"/>
                <w:sz w:val="18"/>
                <w:szCs w:val="24"/>
              </w:rPr>
              <w:t xml:space="preserve">Blake then explores the inescapable </w:t>
            </w:r>
            <w:bookmarkStart w:id="0" w:name="_GoBack"/>
            <w:bookmarkEnd w:id="0"/>
            <w:r w:rsidRPr="00326E81">
              <w:rPr>
                <w:rFonts w:asciiTheme="majorHAnsi" w:hAnsiTheme="majorHAnsi" w:cstheme="majorHAnsi"/>
                <w:sz w:val="18"/>
                <w:szCs w:val="24"/>
              </w:rPr>
              <w:t>suffering and corruption inflicted by the industrial revolution on the working classes.</w:t>
            </w:r>
          </w:p>
        </w:tc>
      </w:tr>
      <w:tr w:rsidR="0018017C" w:rsidRPr="007547FA" w:rsidTr="0018017C">
        <w:trPr>
          <w:trHeight w:val="428"/>
        </w:trPr>
        <w:tc>
          <w:tcPr>
            <w:tcW w:w="10577" w:type="dxa"/>
          </w:tcPr>
          <w:p w:rsidR="0018017C" w:rsidRPr="00326E81" w:rsidRDefault="0018017C" w:rsidP="00326E81">
            <w:pPr>
              <w:pStyle w:val="ListParagraph"/>
              <w:numPr>
                <w:ilvl w:val="0"/>
                <w:numId w:val="10"/>
              </w:numPr>
              <w:contextualSpacing w:val="0"/>
              <w:rPr>
                <w:rFonts w:asciiTheme="majorHAnsi" w:hAnsiTheme="majorHAnsi" w:cstheme="majorHAnsi"/>
                <w:sz w:val="18"/>
                <w:szCs w:val="24"/>
              </w:rPr>
            </w:pPr>
            <w:r w:rsidRPr="00326E81">
              <w:rPr>
                <w:rFonts w:asciiTheme="majorHAnsi" w:hAnsiTheme="majorHAnsi" w:cstheme="majorHAnsi"/>
                <w:sz w:val="18"/>
                <w:szCs w:val="24"/>
              </w:rPr>
              <w:t>Finally, full of despair, Blake examines the city’s destruction of innocence and youth.</w:t>
            </w:r>
          </w:p>
        </w:tc>
      </w:tr>
    </w:tbl>
    <w:p w:rsidR="00AC2E33" w:rsidRPr="007547FA" w:rsidRDefault="00AC2E33">
      <w:pPr>
        <w:rPr>
          <w:b/>
          <w:sz w:val="28"/>
          <w:szCs w:val="32"/>
        </w:rPr>
      </w:pPr>
    </w:p>
    <w:tbl>
      <w:tblPr>
        <w:tblStyle w:val="TableGrid"/>
        <w:tblW w:w="10593" w:type="dxa"/>
        <w:tblLook w:val="04A0" w:firstRow="1" w:lastRow="0" w:firstColumn="1" w:lastColumn="0" w:noHBand="0" w:noVBand="1"/>
      </w:tblPr>
      <w:tblGrid>
        <w:gridCol w:w="10593"/>
      </w:tblGrid>
      <w:tr w:rsidR="0018017C" w:rsidRPr="007547FA" w:rsidTr="0018017C">
        <w:trPr>
          <w:trHeight w:val="197"/>
        </w:trPr>
        <w:tc>
          <w:tcPr>
            <w:tcW w:w="10593" w:type="dxa"/>
            <w:shd w:val="clear" w:color="auto" w:fill="002060"/>
          </w:tcPr>
          <w:p w:rsidR="0018017C" w:rsidRPr="007547FA" w:rsidRDefault="0018017C" w:rsidP="00E90539">
            <w:pPr>
              <w:contextualSpacing w:val="0"/>
              <w:jc w:val="center"/>
              <w:rPr>
                <w:sz w:val="28"/>
                <w:szCs w:val="32"/>
              </w:rPr>
            </w:pPr>
            <w:bookmarkStart w:id="1" w:name="_gjdgxs" w:colFirst="0" w:colLast="0"/>
            <w:bookmarkEnd w:id="1"/>
            <w:r>
              <w:rPr>
                <w:sz w:val="28"/>
                <w:szCs w:val="32"/>
              </w:rPr>
              <w:t xml:space="preserve">Rumen’s </w:t>
            </w:r>
            <w:r w:rsidRPr="00AF52B4">
              <w:rPr>
                <w:i/>
                <w:sz w:val="28"/>
                <w:szCs w:val="32"/>
              </w:rPr>
              <w:t xml:space="preserve">The </w:t>
            </w:r>
            <w:proofErr w:type="spellStart"/>
            <w:r w:rsidRPr="00AF52B4">
              <w:rPr>
                <w:i/>
                <w:sz w:val="28"/>
                <w:szCs w:val="32"/>
              </w:rPr>
              <w:t>Émigrée</w:t>
            </w:r>
            <w:proofErr w:type="spellEnd"/>
          </w:p>
        </w:tc>
      </w:tr>
      <w:tr w:rsidR="0018017C" w:rsidRPr="007547FA" w:rsidTr="0018017C">
        <w:trPr>
          <w:trHeight w:val="540"/>
        </w:trPr>
        <w:tc>
          <w:tcPr>
            <w:tcW w:w="10593" w:type="dxa"/>
          </w:tcPr>
          <w:p w:rsidR="0018017C" w:rsidRPr="00FB3967" w:rsidRDefault="0018017C" w:rsidP="00FB3967">
            <w:pPr>
              <w:pStyle w:val="ListParagraph"/>
              <w:numPr>
                <w:ilvl w:val="0"/>
                <w:numId w:val="14"/>
              </w:numPr>
              <w:rPr>
                <w:rFonts w:asciiTheme="majorHAnsi" w:hAnsiTheme="majorHAnsi" w:cstheme="majorHAnsi"/>
                <w:iCs/>
                <w:sz w:val="18"/>
                <w:szCs w:val="20"/>
                <w:lang w:val="en-US"/>
              </w:rPr>
            </w:pPr>
            <w:r w:rsidRPr="00FB3967">
              <w:rPr>
                <w:rFonts w:asciiTheme="majorHAnsi" w:hAnsiTheme="majorHAnsi" w:cstheme="majorHAnsi"/>
                <w:iCs/>
                <w:sz w:val="18"/>
                <w:szCs w:val="20"/>
                <w:lang w:val="en-US"/>
              </w:rPr>
              <w:t xml:space="preserve">In the opening lines of The Emigree Rumens contrasts the idealised and nostalgic memories of the speaker’s home with the reality of the place now “sick with tyrants”.  </w:t>
            </w:r>
          </w:p>
        </w:tc>
      </w:tr>
      <w:tr w:rsidR="0018017C" w:rsidRPr="007547FA" w:rsidTr="0018017C">
        <w:trPr>
          <w:trHeight w:val="540"/>
        </w:trPr>
        <w:tc>
          <w:tcPr>
            <w:tcW w:w="10593" w:type="dxa"/>
          </w:tcPr>
          <w:p w:rsidR="0018017C" w:rsidRPr="00FB3967" w:rsidRDefault="0018017C" w:rsidP="00FB3967">
            <w:pPr>
              <w:pStyle w:val="ListParagraph"/>
              <w:numPr>
                <w:ilvl w:val="0"/>
                <w:numId w:val="14"/>
              </w:numPr>
              <w:rPr>
                <w:rFonts w:asciiTheme="majorHAnsi" w:hAnsiTheme="majorHAnsi" w:cstheme="majorHAnsi"/>
                <w:sz w:val="18"/>
                <w:szCs w:val="20"/>
              </w:rPr>
            </w:pPr>
            <w:r w:rsidRPr="00FB3967">
              <w:rPr>
                <w:rFonts w:asciiTheme="majorHAnsi" w:hAnsiTheme="majorHAnsi" w:cstheme="majorHAnsi"/>
                <w:iCs/>
                <w:sz w:val="18"/>
                <w:szCs w:val="20"/>
              </w:rPr>
              <w:t xml:space="preserve">Rumens then describes the internal contradiction between the passing of time, which should distance the speaker from her identity and past, with the reality that purity of her memory pulls her ever closer to it. </w:t>
            </w:r>
          </w:p>
        </w:tc>
      </w:tr>
      <w:tr w:rsidR="0018017C" w:rsidRPr="007547FA" w:rsidTr="0018017C">
        <w:trPr>
          <w:trHeight w:val="405"/>
        </w:trPr>
        <w:tc>
          <w:tcPr>
            <w:tcW w:w="10593" w:type="dxa"/>
          </w:tcPr>
          <w:p w:rsidR="0018017C" w:rsidRPr="00FB3967" w:rsidRDefault="0018017C" w:rsidP="00FB3967">
            <w:pPr>
              <w:pStyle w:val="ListParagraph"/>
              <w:numPr>
                <w:ilvl w:val="0"/>
                <w:numId w:val="14"/>
              </w:numPr>
              <w:rPr>
                <w:rFonts w:asciiTheme="majorHAnsi" w:hAnsiTheme="majorHAnsi" w:cstheme="majorHAnsi"/>
                <w:sz w:val="18"/>
                <w:szCs w:val="20"/>
              </w:rPr>
            </w:pPr>
            <w:r w:rsidRPr="00FB3967">
              <w:rPr>
                <w:rFonts w:asciiTheme="majorHAnsi" w:hAnsiTheme="majorHAnsi" w:cstheme="majorHAnsi"/>
                <w:iCs/>
                <w:sz w:val="18"/>
                <w:szCs w:val="20"/>
                <w:lang w:val="en-US"/>
              </w:rPr>
              <w:t xml:space="preserve">Finally, Rumens juxtaposes the joy the personified vision of her past city brings with the isolation felt when she compares it with its current incarnation. </w:t>
            </w:r>
          </w:p>
        </w:tc>
      </w:tr>
    </w:tbl>
    <w:p w:rsidR="00FB3967" w:rsidRPr="007547FA" w:rsidRDefault="00FB3967" w:rsidP="00FB3967">
      <w:pPr>
        <w:contextualSpacing w:val="0"/>
        <w:rPr>
          <w:b/>
          <w:i/>
          <w:sz w:val="28"/>
          <w:szCs w:val="32"/>
        </w:rPr>
      </w:pPr>
    </w:p>
    <w:tbl>
      <w:tblPr>
        <w:tblStyle w:val="TableGrid"/>
        <w:tblW w:w="10543" w:type="dxa"/>
        <w:tblLook w:val="04A0" w:firstRow="1" w:lastRow="0" w:firstColumn="1" w:lastColumn="0" w:noHBand="0" w:noVBand="1"/>
      </w:tblPr>
      <w:tblGrid>
        <w:gridCol w:w="10543"/>
      </w:tblGrid>
      <w:tr w:rsidR="0018017C" w:rsidRPr="007547FA" w:rsidTr="0018017C">
        <w:trPr>
          <w:trHeight w:val="378"/>
        </w:trPr>
        <w:tc>
          <w:tcPr>
            <w:tcW w:w="10543" w:type="dxa"/>
            <w:shd w:val="clear" w:color="auto" w:fill="002060"/>
          </w:tcPr>
          <w:p w:rsidR="0018017C" w:rsidRPr="007547FA" w:rsidRDefault="0018017C" w:rsidP="009344F8">
            <w:pPr>
              <w:contextualSpacing w:val="0"/>
              <w:jc w:val="center"/>
              <w:rPr>
                <w:sz w:val="28"/>
                <w:szCs w:val="32"/>
              </w:rPr>
            </w:pPr>
            <w:proofErr w:type="spellStart"/>
            <w:r>
              <w:rPr>
                <w:sz w:val="28"/>
                <w:szCs w:val="32"/>
              </w:rPr>
              <w:t>Agard’s</w:t>
            </w:r>
            <w:proofErr w:type="spellEnd"/>
            <w:r>
              <w:rPr>
                <w:sz w:val="28"/>
                <w:szCs w:val="32"/>
              </w:rPr>
              <w:t xml:space="preserve"> </w:t>
            </w:r>
            <w:r>
              <w:rPr>
                <w:i/>
                <w:sz w:val="28"/>
                <w:szCs w:val="32"/>
              </w:rPr>
              <w:t>Checking Out Me History</w:t>
            </w:r>
          </w:p>
        </w:tc>
      </w:tr>
      <w:tr w:rsidR="0018017C" w:rsidRPr="007547FA" w:rsidTr="0018017C">
        <w:trPr>
          <w:trHeight w:val="491"/>
        </w:trPr>
        <w:tc>
          <w:tcPr>
            <w:tcW w:w="10543" w:type="dxa"/>
          </w:tcPr>
          <w:p w:rsidR="0018017C" w:rsidRPr="00FB3967" w:rsidRDefault="0018017C" w:rsidP="00FB3967">
            <w:pPr>
              <w:pStyle w:val="ListParagraph"/>
              <w:numPr>
                <w:ilvl w:val="0"/>
                <w:numId w:val="15"/>
              </w:numPr>
              <w:rPr>
                <w:rFonts w:asciiTheme="majorHAnsi" w:hAnsiTheme="majorHAnsi" w:cstheme="majorHAnsi"/>
                <w:sz w:val="18"/>
                <w:szCs w:val="20"/>
              </w:rPr>
            </w:pPr>
            <w:r w:rsidRPr="00FB3967">
              <w:rPr>
                <w:rFonts w:asciiTheme="majorHAnsi" w:hAnsiTheme="majorHAnsi" w:cstheme="majorHAnsi"/>
                <w:iCs/>
                <w:sz w:val="18"/>
                <w:szCs w:val="20"/>
                <w:lang w:val="en-US"/>
              </w:rPr>
              <w:t xml:space="preserve">In the opening lines of Checking </w:t>
            </w:r>
            <w:proofErr w:type="gramStart"/>
            <w:r w:rsidRPr="00FB3967">
              <w:rPr>
                <w:rFonts w:asciiTheme="majorHAnsi" w:hAnsiTheme="majorHAnsi" w:cstheme="majorHAnsi"/>
                <w:iCs/>
                <w:sz w:val="18"/>
                <w:szCs w:val="20"/>
                <w:lang w:val="en-US"/>
              </w:rPr>
              <w:t>Out</w:t>
            </w:r>
            <w:proofErr w:type="gramEnd"/>
            <w:r w:rsidRPr="00FB3967">
              <w:rPr>
                <w:rFonts w:asciiTheme="majorHAnsi" w:hAnsiTheme="majorHAnsi" w:cstheme="majorHAnsi"/>
                <w:iCs/>
                <w:sz w:val="18"/>
                <w:szCs w:val="20"/>
                <w:lang w:val="en-US"/>
              </w:rPr>
              <w:t xml:space="preserve"> Me History </w:t>
            </w:r>
            <w:proofErr w:type="spellStart"/>
            <w:r w:rsidRPr="00FB3967">
              <w:rPr>
                <w:rFonts w:asciiTheme="majorHAnsi" w:hAnsiTheme="majorHAnsi" w:cstheme="majorHAnsi"/>
                <w:iCs/>
                <w:sz w:val="18"/>
                <w:szCs w:val="20"/>
                <w:lang w:val="en-US"/>
              </w:rPr>
              <w:t>Agard</w:t>
            </w:r>
            <w:proofErr w:type="spellEnd"/>
            <w:r w:rsidRPr="00FB3967">
              <w:rPr>
                <w:rFonts w:asciiTheme="majorHAnsi" w:hAnsiTheme="majorHAnsi" w:cstheme="majorHAnsi"/>
                <w:iCs/>
                <w:sz w:val="18"/>
                <w:szCs w:val="20"/>
                <w:lang w:val="en-US"/>
              </w:rPr>
              <w:t xml:space="preserve"> reveals the destructive nature of a British school system that has silenced the voices of its previous colonial subjects. </w:t>
            </w:r>
          </w:p>
        </w:tc>
      </w:tr>
      <w:tr w:rsidR="0018017C" w:rsidRPr="007547FA" w:rsidTr="0018017C">
        <w:trPr>
          <w:trHeight w:val="498"/>
        </w:trPr>
        <w:tc>
          <w:tcPr>
            <w:tcW w:w="10543" w:type="dxa"/>
          </w:tcPr>
          <w:p w:rsidR="0018017C" w:rsidRPr="00FB3967" w:rsidRDefault="0018017C" w:rsidP="00FB3967">
            <w:pPr>
              <w:pStyle w:val="ListParagraph"/>
              <w:numPr>
                <w:ilvl w:val="0"/>
                <w:numId w:val="15"/>
              </w:numPr>
              <w:rPr>
                <w:rFonts w:asciiTheme="majorHAnsi" w:hAnsiTheme="majorHAnsi" w:cstheme="majorHAnsi"/>
                <w:sz w:val="18"/>
                <w:szCs w:val="20"/>
              </w:rPr>
            </w:pPr>
            <w:r w:rsidRPr="00FB3967">
              <w:rPr>
                <w:rFonts w:asciiTheme="majorHAnsi" w:hAnsiTheme="majorHAnsi" w:cstheme="majorHAnsi"/>
                <w:iCs/>
                <w:sz w:val="18"/>
                <w:szCs w:val="20"/>
              </w:rPr>
              <w:t xml:space="preserve">As exemplified by his performance, </w:t>
            </w:r>
            <w:proofErr w:type="spellStart"/>
            <w:r w:rsidRPr="00FB3967">
              <w:rPr>
                <w:rFonts w:asciiTheme="majorHAnsi" w:hAnsiTheme="majorHAnsi" w:cstheme="majorHAnsi"/>
                <w:iCs/>
                <w:sz w:val="18"/>
                <w:szCs w:val="20"/>
              </w:rPr>
              <w:t>Agard</w:t>
            </w:r>
            <w:proofErr w:type="spellEnd"/>
            <w:r w:rsidRPr="00FB3967">
              <w:rPr>
                <w:rFonts w:asciiTheme="majorHAnsi" w:hAnsiTheme="majorHAnsi" w:cstheme="majorHAnsi"/>
                <w:iCs/>
                <w:sz w:val="18"/>
                <w:szCs w:val="20"/>
              </w:rPr>
              <w:t xml:space="preserve"> shifts into irregular rhyme and short verse in order to celebrate the achievements of </w:t>
            </w:r>
            <w:r>
              <w:rPr>
                <w:rFonts w:asciiTheme="majorHAnsi" w:hAnsiTheme="majorHAnsi" w:cstheme="majorHAnsi"/>
                <w:iCs/>
                <w:sz w:val="18"/>
                <w:szCs w:val="20"/>
              </w:rPr>
              <w:t xml:space="preserve">the </w:t>
            </w:r>
            <w:r w:rsidRPr="00FB3967">
              <w:rPr>
                <w:rFonts w:asciiTheme="majorHAnsi" w:hAnsiTheme="majorHAnsi" w:cstheme="majorHAnsi"/>
                <w:iCs/>
                <w:sz w:val="18"/>
                <w:szCs w:val="20"/>
              </w:rPr>
              <w:t>ethnic minority historical figures previously silenced by the myths of Empire</w:t>
            </w:r>
          </w:p>
        </w:tc>
      </w:tr>
      <w:tr w:rsidR="0018017C" w:rsidRPr="007547FA" w:rsidTr="0018017C">
        <w:trPr>
          <w:trHeight w:val="1036"/>
        </w:trPr>
        <w:tc>
          <w:tcPr>
            <w:tcW w:w="10543" w:type="dxa"/>
          </w:tcPr>
          <w:p w:rsidR="0018017C" w:rsidRPr="00FB3967" w:rsidRDefault="0018017C" w:rsidP="00FB3967">
            <w:pPr>
              <w:pStyle w:val="ListParagraph"/>
              <w:numPr>
                <w:ilvl w:val="0"/>
                <w:numId w:val="15"/>
              </w:numPr>
              <w:rPr>
                <w:rFonts w:asciiTheme="majorHAnsi" w:hAnsiTheme="majorHAnsi" w:cstheme="majorHAnsi"/>
                <w:sz w:val="18"/>
                <w:szCs w:val="20"/>
              </w:rPr>
            </w:pPr>
            <w:r w:rsidRPr="00FB3967">
              <w:rPr>
                <w:rFonts w:asciiTheme="majorHAnsi" w:hAnsiTheme="majorHAnsi" w:cstheme="majorHAnsi"/>
                <w:iCs/>
                <w:sz w:val="18"/>
                <w:szCs w:val="20"/>
                <w:lang w:val="en-US"/>
              </w:rPr>
              <w:t xml:space="preserve">Finally, </w:t>
            </w:r>
            <w:proofErr w:type="spellStart"/>
            <w:r w:rsidRPr="00FB3967">
              <w:rPr>
                <w:rFonts w:asciiTheme="majorHAnsi" w:hAnsiTheme="majorHAnsi" w:cstheme="majorHAnsi"/>
                <w:iCs/>
                <w:sz w:val="18"/>
                <w:szCs w:val="20"/>
                <w:lang w:val="en-US"/>
              </w:rPr>
              <w:t>Agard</w:t>
            </w:r>
            <w:proofErr w:type="spellEnd"/>
            <w:r w:rsidRPr="00FB3967">
              <w:rPr>
                <w:rFonts w:asciiTheme="majorHAnsi" w:hAnsiTheme="majorHAnsi" w:cstheme="majorHAnsi"/>
                <w:iCs/>
                <w:sz w:val="18"/>
                <w:szCs w:val="20"/>
                <w:lang w:val="en-US"/>
              </w:rPr>
              <w:t xml:space="preserve"> weaves together this history of resistance and rebellion to colonial subjugation</w:t>
            </w:r>
            <w:r>
              <w:rPr>
                <w:rFonts w:asciiTheme="majorHAnsi" w:hAnsiTheme="majorHAnsi" w:cstheme="majorHAnsi"/>
                <w:iCs/>
                <w:sz w:val="18"/>
                <w:szCs w:val="20"/>
                <w:lang w:val="en-US"/>
              </w:rPr>
              <w:t xml:space="preserve"> and </w:t>
            </w:r>
            <w:r w:rsidRPr="00FB3967">
              <w:rPr>
                <w:rFonts w:asciiTheme="majorHAnsi" w:hAnsiTheme="majorHAnsi" w:cstheme="majorHAnsi"/>
                <w:iCs/>
                <w:sz w:val="18"/>
                <w:szCs w:val="20"/>
                <w:lang w:val="en-US"/>
              </w:rPr>
              <w:t>demand</w:t>
            </w:r>
            <w:r>
              <w:rPr>
                <w:rFonts w:asciiTheme="majorHAnsi" w:hAnsiTheme="majorHAnsi" w:cstheme="majorHAnsi"/>
                <w:iCs/>
                <w:sz w:val="18"/>
                <w:szCs w:val="20"/>
                <w:lang w:val="en-US"/>
              </w:rPr>
              <w:t>s</w:t>
            </w:r>
            <w:r w:rsidRPr="00FB3967">
              <w:rPr>
                <w:rFonts w:asciiTheme="majorHAnsi" w:hAnsiTheme="majorHAnsi" w:cstheme="majorHAnsi"/>
                <w:iCs/>
                <w:sz w:val="18"/>
                <w:szCs w:val="20"/>
                <w:lang w:val="en-US"/>
              </w:rPr>
              <w:t xml:space="preserve"> that the post-colonial voice and identity be heard.</w:t>
            </w:r>
          </w:p>
          <w:p w:rsidR="0018017C" w:rsidRPr="00FB3967" w:rsidRDefault="0018017C" w:rsidP="00FB3967">
            <w:pPr>
              <w:rPr>
                <w:rFonts w:asciiTheme="majorHAnsi" w:hAnsiTheme="majorHAnsi" w:cstheme="majorHAnsi"/>
                <w:sz w:val="18"/>
                <w:szCs w:val="20"/>
              </w:rPr>
            </w:pPr>
          </w:p>
        </w:tc>
      </w:tr>
    </w:tbl>
    <w:p w:rsidR="00FE2CD1" w:rsidRPr="007547FA" w:rsidRDefault="00FE2CD1" w:rsidP="00AC0A9C">
      <w:pPr>
        <w:pStyle w:val="ListParagraph"/>
        <w:contextualSpacing w:val="0"/>
        <w:rPr>
          <w:sz w:val="28"/>
          <w:szCs w:val="32"/>
        </w:rPr>
      </w:pPr>
    </w:p>
    <w:sectPr w:rsidR="00FE2CD1" w:rsidRPr="007547FA" w:rsidSect="00222446">
      <w:pgSz w:w="11909" w:h="16834"/>
      <w:pgMar w:top="284" w:right="710" w:bottom="568" w:left="7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7B"/>
    <w:multiLevelType w:val="hybridMultilevel"/>
    <w:tmpl w:val="7F324868"/>
    <w:lvl w:ilvl="0" w:tplc="9A04FFCE">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5327"/>
    <w:multiLevelType w:val="hybridMultilevel"/>
    <w:tmpl w:val="BD143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F7717"/>
    <w:multiLevelType w:val="hybridMultilevel"/>
    <w:tmpl w:val="02D28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818D0"/>
    <w:multiLevelType w:val="hybridMultilevel"/>
    <w:tmpl w:val="3AFC4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00A8C"/>
    <w:multiLevelType w:val="hybridMultilevel"/>
    <w:tmpl w:val="52642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35CBD"/>
    <w:multiLevelType w:val="hybridMultilevel"/>
    <w:tmpl w:val="031A5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D5FA7"/>
    <w:multiLevelType w:val="hybridMultilevel"/>
    <w:tmpl w:val="52642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70D87"/>
    <w:multiLevelType w:val="multilevel"/>
    <w:tmpl w:val="45621B7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1C662E8D"/>
    <w:multiLevelType w:val="hybridMultilevel"/>
    <w:tmpl w:val="D5A80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24610"/>
    <w:multiLevelType w:val="multilevel"/>
    <w:tmpl w:val="483C957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6FD045D"/>
    <w:multiLevelType w:val="hybridMultilevel"/>
    <w:tmpl w:val="678E2E94"/>
    <w:lvl w:ilvl="0" w:tplc="EE7481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4632E"/>
    <w:multiLevelType w:val="hybridMultilevel"/>
    <w:tmpl w:val="7776507E"/>
    <w:lvl w:ilvl="0" w:tplc="9A04FFC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50588"/>
    <w:multiLevelType w:val="hybridMultilevel"/>
    <w:tmpl w:val="02D28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605F7"/>
    <w:multiLevelType w:val="hybridMultilevel"/>
    <w:tmpl w:val="2824774C"/>
    <w:lvl w:ilvl="0" w:tplc="9A04FFC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B3704"/>
    <w:multiLevelType w:val="hybridMultilevel"/>
    <w:tmpl w:val="D9A2A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31544"/>
    <w:multiLevelType w:val="hybridMultilevel"/>
    <w:tmpl w:val="CC44F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C0993"/>
    <w:multiLevelType w:val="multilevel"/>
    <w:tmpl w:val="F8F682B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3DE37054"/>
    <w:multiLevelType w:val="hybridMultilevel"/>
    <w:tmpl w:val="26FE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1959C7"/>
    <w:multiLevelType w:val="hybridMultilevel"/>
    <w:tmpl w:val="1A58EE94"/>
    <w:lvl w:ilvl="0" w:tplc="9A04FFC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C4CFC"/>
    <w:multiLevelType w:val="hybridMultilevel"/>
    <w:tmpl w:val="58B2308E"/>
    <w:lvl w:ilvl="0" w:tplc="9A04FFC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3E1E44"/>
    <w:multiLevelType w:val="hybridMultilevel"/>
    <w:tmpl w:val="031A5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40433"/>
    <w:multiLevelType w:val="hybridMultilevel"/>
    <w:tmpl w:val="D4462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F78D2"/>
    <w:multiLevelType w:val="hybridMultilevel"/>
    <w:tmpl w:val="D324C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A3AE6"/>
    <w:multiLevelType w:val="multilevel"/>
    <w:tmpl w:val="8E50F9F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67EE679B"/>
    <w:multiLevelType w:val="multilevel"/>
    <w:tmpl w:val="1E78373A"/>
    <w:lvl w:ilvl="0">
      <w:start w:val="1"/>
      <w:numFmt w:val="decimal"/>
      <w:lvlText w:val="%1."/>
      <w:lvlJc w:val="left"/>
      <w:pPr>
        <w:ind w:left="720" w:hanging="360"/>
      </w:pPr>
      <w:rPr>
        <w:rFonts w:hint="default"/>
      </w:rPr>
    </w:lvl>
    <w:lvl w:ilvl="1">
      <w:start w:val="2"/>
      <w:numFmt w:val="decimal"/>
      <w:isLgl/>
      <w:lvlText w:val="%1.%2"/>
      <w:lvlJc w:val="left"/>
      <w:pPr>
        <w:ind w:left="26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3F73D9"/>
    <w:multiLevelType w:val="hybridMultilevel"/>
    <w:tmpl w:val="26FE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F477CB"/>
    <w:multiLevelType w:val="hybridMultilevel"/>
    <w:tmpl w:val="CC44F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E845B3"/>
    <w:multiLevelType w:val="hybridMultilevel"/>
    <w:tmpl w:val="D8082706"/>
    <w:lvl w:ilvl="0" w:tplc="7C5435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653ED0"/>
    <w:multiLevelType w:val="multilevel"/>
    <w:tmpl w:val="1E7837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6E7856"/>
    <w:multiLevelType w:val="multilevel"/>
    <w:tmpl w:val="79E499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777F24E9"/>
    <w:multiLevelType w:val="hybridMultilevel"/>
    <w:tmpl w:val="D9A2A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F2E22"/>
    <w:multiLevelType w:val="hybridMultilevel"/>
    <w:tmpl w:val="CFAA2F6C"/>
    <w:lvl w:ilvl="0" w:tplc="A42812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6"/>
  </w:num>
  <w:num w:numId="3">
    <w:abstractNumId w:val="23"/>
  </w:num>
  <w:num w:numId="4">
    <w:abstractNumId w:val="9"/>
  </w:num>
  <w:num w:numId="5">
    <w:abstractNumId w:val="29"/>
  </w:num>
  <w:num w:numId="6">
    <w:abstractNumId w:val="10"/>
  </w:num>
  <w:num w:numId="7">
    <w:abstractNumId w:val="27"/>
  </w:num>
  <w:num w:numId="8">
    <w:abstractNumId w:val="25"/>
  </w:num>
  <w:num w:numId="9">
    <w:abstractNumId w:val="2"/>
  </w:num>
  <w:num w:numId="10">
    <w:abstractNumId w:val="17"/>
  </w:num>
  <w:num w:numId="11">
    <w:abstractNumId w:val="31"/>
  </w:num>
  <w:num w:numId="12">
    <w:abstractNumId w:val="24"/>
  </w:num>
  <w:num w:numId="13">
    <w:abstractNumId w:val="12"/>
  </w:num>
  <w:num w:numId="14">
    <w:abstractNumId w:val="21"/>
  </w:num>
  <w:num w:numId="15">
    <w:abstractNumId w:val="18"/>
  </w:num>
  <w:num w:numId="16">
    <w:abstractNumId w:val="0"/>
  </w:num>
  <w:num w:numId="17">
    <w:abstractNumId w:val="8"/>
  </w:num>
  <w:num w:numId="18">
    <w:abstractNumId w:val="15"/>
  </w:num>
  <w:num w:numId="19">
    <w:abstractNumId w:val="26"/>
  </w:num>
  <w:num w:numId="20">
    <w:abstractNumId w:val="5"/>
  </w:num>
  <w:num w:numId="21">
    <w:abstractNumId w:val="28"/>
  </w:num>
  <w:num w:numId="22">
    <w:abstractNumId w:val="20"/>
  </w:num>
  <w:num w:numId="23">
    <w:abstractNumId w:val="19"/>
  </w:num>
  <w:num w:numId="24">
    <w:abstractNumId w:val="13"/>
  </w:num>
  <w:num w:numId="25">
    <w:abstractNumId w:val="4"/>
  </w:num>
  <w:num w:numId="26">
    <w:abstractNumId w:val="6"/>
  </w:num>
  <w:num w:numId="27">
    <w:abstractNumId w:val="11"/>
  </w:num>
  <w:num w:numId="28">
    <w:abstractNumId w:val="3"/>
  </w:num>
  <w:num w:numId="29">
    <w:abstractNumId w:val="14"/>
  </w:num>
  <w:num w:numId="30">
    <w:abstractNumId w:val="30"/>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21"/>
    <w:rsid w:val="0001122D"/>
    <w:rsid w:val="000510C6"/>
    <w:rsid w:val="00055A10"/>
    <w:rsid w:val="000618FE"/>
    <w:rsid w:val="000C0295"/>
    <w:rsid w:val="00152854"/>
    <w:rsid w:val="0018017C"/>
    <w:rsid w:val="00222446"/>
    <w:rsid w:val="00227EF9"/>
    <w:rsid w:val="00240721"/>
    <w:rsid w:val="0028066B"/>
    <w:rsid w:val="002C2497"/>
    <w:rsid w:val="00326E81"/>
    <w:rsid w:val="00336379"/>
    <w:rsid w:val="00355297"/>
    <w:rsid w:val="0043166B"/>
    <w:rsid w:val="00433B55"/>
    <w:rsid w:val="00440D4E"/>
    <w:rsid w:val="004618A8"/>
    <w:rsid w:val="0063671A"/>
    <w:rsid w:val="006A23AC"/>
    <w:rsid w:val="006A475B"/>
    <w:rsid w:val="006E0A8D"/>
    <w:rsid w:val="006F7E1A"/>
    <w:rsid w:val="007547FA"/>
    <w:rsid w:val="007C542A"/>
    <w:rsid w:val="007E7EC4"/>
    <w:rsid w:val="00850E0C"/>
    <w:rsid w:val="00852034"/>
    <w:rsid w:val="00920D46"/>
    <w:rsid w:val="009344F8"/>
    <w:rsid w:val="00A31C8F"/>
    <w:rsid w:val="00A60395"/>
    <w:rsid w:val="00A64045"/>
    <w:rsid w:val="00AB254B"/>
    <w:rsid w:val="00AC0A9C"/>
    <w:rsid w:val="00AC2E33"/>
    <w:rsid w:val="00AF52B4"/>
    <w:rsid w:val="00B92C2D"/>
    <w:rsid w:val="00BD752C"/>
    <w:rsid w:val="00C43D13"/>
    <w:rsid w:val="00CC0443"/>
    <w:rsid w:val="00CC539C"/>
    <w:rsid w:val="00CE60AC"/>
    <w:rsid w:val="00D2600C"/>
    <w:rsid w:val="00DC392A"/>
    <w:rsid w:val="00DC67FE"/>
    <w:rsid w:val="00DD65CF"/>
    <w:rsid w:val="00E52AD9"/>
    <w:rsid w:val="00E72AF9"/>
    <w:rsid w:val="00E76F1F"/>
    <w:rsid w:val="00E774DB"/>
    <w:rsid w:val="00F86C21"/>
    <w:rsid w:val="00FA07C1"/>
    <w:rsid w:val="00FB3967"/>
    <w:rsid w:val="00FE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A51F"/>
  <w15:docId w15:val="{B6CD5439-7417-4C57-B576-9E880838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E52A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AD9"/>
    <w:pPr>
      <w:ind w:left="720"/>
    </w:pPr>
  </w:style>
  <w:style w:type="character" w:styleId="Hyperlink">
    <w:name w:val="Hyperlink"/>
    <w:basedOn w:val="DefaultParagraphFont"/>
    <w:uiPriority w:val="99"/>
    <w:unhideWhenUsed/>
    <w:rsid w:val="00E52AD9"/>
    <w:rPr>
      <w:color w:val="0000FF" w:themeColor="hyperlink"/>
      <w:u w:val="single"/>
    </w:rPr>
  </w:style>
  <w:style w:type="paragraph" w:styleId="BalloonText">
    <w:name w:val="Balloon Text"/>
    <w:basedOn w:val="Normal"/>
    <w:link w:val="BalloonTextChar"/>
    <w:uiPriority w:val="99"/>
    <w:semiHidden/>
    <w:unhideWhenUsed/>
    <w:rsid w:val="007E7E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C4"/>
    <w:rPr>
      <w:rFonts w:ascii="Segoe UI" w:hAnsi="Segoe UI" w:cs="Segoe UI"/>
      <w:sz w:val="18"/>
      <w:szCs w:val="18"/>
    </w:rPr>
  </w:style>
  <w:style w:type="paragraph" w:styleId="NormalWeb">
    <w:name w:val="Normal (Web)"/>
    <w:basedOn w:val="Normal"/>
    <w:uiPriority w:val="99"/>
    <w:semiHidden/>
    <w:unhideWhenUsed/>
    <w:rsid w:val="00A31C8F"/>
    <w:pPr>
      <w:spacing w:before="100" w:beforeAutospacing="1" w:after="100" w:afterAutospacing="1" w:line="240" w:lineRule="auto"/>
      <w:contextualSpacing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3708">
      <w:bodyDiv w:val="1"/>
      <w:marLeft w:val="0"/>
      <w:marRight w:val="0"/>
      <w:marTop w:val="0"/>
      <w:marBottom w:val="0"/>
      <w:divBdr>
        <w:top w:val="none" w:sz="0" w:space="0" w:color="auto"/>
        <w:left w:val="none" w:sz="0" w:space="0" w:color="auto"/>
        <w:bottom w:val="none" w:sz="0" w:space="0" w:color="auto"/>
        <w:right w:val="none" w:sz="0" w:space="0" w:color="auto"/>
      </w:divBdr>
    </w:div>
    <w:div w:id="1037850247">
      <w:bodyDiv w:val="1"/>
      <w:marLeft w:val="0"/>
      <w:marRight w:val="0"/>
      <w:marTop w:val="0"/>
      <w:marBottom w:val="0"/>
      <w:divBdr>
        <w:top w:val="none" w:sz="0" w:space="0" w:color="auto"/>
        <w:left w:val="none" w:sz="0" w:space="0" w:color="auto"/>
        <w:bottom w:val="none" w:sz="0" w:space="0" w:color="auto"/>
        <w:right w:val="none" w:sz="0" w:space="0" w:color="auto"/>
      </w:divBdr>
    </w:div>
    <w:div w:id="1582908885">
      <w:bodyDiv w:val="1"/>
      <w:marLeft w:val="0"/>
      <w:marRight w:val="0"/>
      <w:marTop w:val="0"/>
      <w:marBottom w:val="0"/>
      <w:divBdr>
        <w:top w:val="none" w:sz="0" w:space="0" w:color="auto"/>
        <w:left w:val="none" w:sz="0" w:space="0" w:color="auto"/>
        <w:bottom w:val="none" w:sz="0" w:space="0" w:color="auto"/>
        <w:right w:val="none" w:sz="0" w:space="0" w:color="auto"/>
      </w:divBdr>
    </w:div>
    <w:div w:id="1620644871">
      <w:bodyDiv w:val="1"/>
      <w:marLeft w:val="0"/>
      <w:marRight w:val="0"/>
      <w:marTop w:val="0"/>
      <w:marBottom w:val="0"/>
      <w:divBdr>
        <w:top w:val="none" w:sz="0" w:space="0" w:color="auto"/>
        <w:left w:val="none" w:sz="0" w:space="0" w:color="auto"/>
        <w:bottom w:val="none" w:sz="0" w:space="0" w:color="auto"/>
        <w:right w:val="none" w:sz="0" w:space="0" w:color="auto"/>
      </w:divBdr>
    </w:div>
    <w:div w:id="182855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Gray</dc:creator>
  <cp:lastModifiedBy>Richard Gleig</cp:lastModifiedBy>
  <cp:revision>3</cp:revision>
  <cp:lastPrinted>2018-10-30T15:49:00Z</cp:lastPrinted>
  <dcterms:created xsi:type="dcterms:W3CDTF">2019-06-19T06:49:00Z</dcterms:created>
  <dcterms:modified xsi:type="dcterms:W3CDTF">2019-06-19T06:53:00Z</dcterms:modified>
</cp:coreProperties>
</file>