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003" w:tblpY="1753"/>
        <w:tblW w:w="16155" w:type="dxa"/>
        <w:tblLook w:val="04A0" w:firstRow="1" w:lastRow="0" w:firstColumn="1" w:lastColumn="0" w:noHBand="0" w:noVBand="1"/>
      </w:tblPr>
      <w:tblGrid>
        <w:gridCol w:w="1129"/>
        <w:gridCol w:w="7088"/>
        <w:gridCol w:w="7872"/>
        <w:gridCol w:w="66"/>
      </w:tblGrid>
      <w:tr w:rsidR="00686DF0" w:rsidRPr="00AC7B0F" w:rsidTr="00BC3E7B">
        <w:trPr>
          <w:gridAfter w:val="1"/>
          <w:wAfter w:w="66" w:type="dxa"/>
          <w:trHeight w:val="274"/>
        </w:trPr>
        <w:tc>
          <w:tcPr>
            <w:tcW w:w="16089" w:type="dxa"/>
            <w:gridSpan w:val="3"/>
            <w:shd w:val="clear" w:color="auto" w:fill="7030A0"/>
          </w:tcPr>
          <w:p w:rsidR="00686DF0" w:rsidRPr="00F52B93" w:rsidRDefault="00686DF0" w:rsidP="003522E6">
            <w:pPr>
              <w:pStyle w:val="NoSpacing"/>
              <w:jc w:val="center"/>
              <w:rPr>
                <w:b/>
                <w:i/>
                <w:sz w:val="28"/>
                <w:szCs w:val="20"/>
              </w:rPr>
            </w:pPr>
            <w:r w:rsidRPr="00686DF0">
              <w:rPr>
                <w:b/>
                <w:color w:val="FFFFFF" w:themeColor="background1"/>
                <w:sz w:val="28"/>
                <w:szCs w:val="20"/>
              </w:rPr>
              <w:t xml:space="preserve">Exam board: </w:t>
            </w:r>
            <w:r w:rsidR="003522E6" w:rsidRPr="003245F0">
              <w:rPr>
                <w:b/>
                <w:color w:val="FFFFFF" w:themeColor="background1"/>
                <w:sz w:val="28"/>
                <w:szCs w:val="20"/>
              </w:rPr>
              <w:t xml:space="preserve">AQA GCSE Maths (Grades 9-1) </w:t>
            </w:r>
          </w:p>
        </w:tc>
      </w:tr>
      <w:tr w:rsidR="00BC3E7B" w:rsidTr="00BC3E7B">
        <w:trPr>
          <w:trHeight w:val="286"/>
        </w:trPr>
        <w:tc>
          <w:tcPr>
            <w:tcW w:w="1129" w:type="dxa"/>
            <w:shd w:val="clear" w:color="auto" w:fill="002060"/>
          </w:tcPr>
          <w:p w:rsidR="00BC3E7B" w:rsidRPr="00BC3E7B" w:rsidRDefault="00BC3E7B" w:rsidP="00522F8F">
            <w:pPr>
              <w:pStyle w:val="NoSpacing"/>
              <w:rPr>
                <w:b/>
                <w:sz w:val="28"/>
                <w:szCs w:val="28"/>
              </w:rPr>
            </w:pPr>
            <w:r w:rsidRPr="00BC3E7B">
              <w:rPr>
                <w:b/>
                <w:sz w:val="28"/>
                <w:szCs w:val="28"/>
              </w:rPr>
              <w:t>Year 10</w:t>
            </w:r>
          </w:p>
        </w:tc>
        <w:tc>
          <w:tcPr>
            <w:tcW w:w="7088" w:type="dxa"/>
            <w:shd w:val="clear" w:color="auto" w:fill="002060"/>
          </w:tcPr>
          <w:p w:rsidR="00BC3E7B" w:rsidRPr="00353A45" w:rsidRDefault="00BC3E7B" w:rsidP="00522F8F">
            <w:pPr>
              <w:pStyle w:val="NoSpacing"/>
              <w:jc w:val="center"/>
              <w:rPr>
                <w:b/>
                <w:sz w:val="28"/>
                <w:szCs w:val="20"/>
              </w:rPr>
            </w:pPr>
            <w:r>
              <w:rPr>
                <w:b/>
                <w:sz w:val="28"/>
                <w:szCs w:val="20"/>
              </w:rPr>
              <w:t>Foundation</w:t>
            </w:r>
          </w:p>
        </w:tc>
        <w:tc>
          <w:tcPr>
            <w:tcW w:w="7938" w:type="dxa"/>
            <w:gridSpan w:val="2"/>
            <w:shd w:val="clear" w:color="auto" w:fill="002060"/>
          </w:tcPr>
          <w:p w:rsidR="00BC3E7B" w:rsidRDefault="00BC3E7B" w:rsidP="00522F8F">
            <w:pPr>
              <w:pStyle w:val="NoSpacing"/>
              <w:jc w:val="center"/>
              <w:rPr>
                <w:b/>
                <w:sz w:val="28"/>
                <w:szCs w:val="20"/>
              </w:rPr>
            </w:pPr>
            <w:r>
              <w:rPr>
                <w:b/>
                <w:sz w:val="28"/>
                <w:szCs w:val="20"/>
              </w:rPr>
              <w:t>Higher</w:t>
            </w:r>
          </w:p>
        </w:tc>
      </w:tr>
      <w:tr w:rsidR="00BC3E7B" w:rsidRPr="00856CDD" w:rsidTr="00BC3E7B">
        <w:trPr>
          <w:cantSplit/>
          <w:trHeight w:val="1843"/>
        </w:trPr>
        <w:tc>
          <w:tcPr>
            <w:tcW w:w="1129" w:type="dxa"/>
            <w:shd w:val="clear" w:color="auto" w:fill="002060"/>
            <w:textDirection w:val="btLr"/>
          </w:tcPr>
          <w:p w:rsidR="00BC3E7B" w:rsidRPr="00F02669" w:rsidRDefault="00BC3E7B" w:rsidP="00522F8F">
            <w:pPr>
              <w:ind w:left="113" w:right="113"/>
              <w:jc w:val="center"/>
              <w:rPr>
                <w:b/>
                <w:sz w:val="28"/>
                <w:szCs w:val="24"/>
              </w:rPr>
            </w:pPr>
            <w:r w:rsidRPr="00F02669">
              <w:rPr>
                <w:b/>
                <w:sz w:val="28"/>
                <w:szCs w:val="24"/>
              </w:rPr>
              <w:t>Autumn term</w:t>
            </w:r>
          </w:p>
        </w:tc>
        <w:tc>
          <w:tcPr>
            <w:tcW w:w="7088" w:type="dxa"/>
            <w:shd w:val="clear" w:color="auto" w:fill="auto"/>
          </w:tcPr>
          <w:p w:rsidR="00BC3E7B" w:rsidRPr="00C844D4" w:rsidRDefault="00BC3E7B" w:rsidP="00522F8F">
            <w:pPr>
              <w:rPr>
                <w:b/>
              </w:rPr>
            </w:pPr>
            <w:r w:rsidRPr="00C844D4">
              <w:rPr>
                <w:b/>
              </w:rPr>
              <w:t>Number:</w:t>
            </w:r>
            <w:bookmarkStart w:id="0" w:name="_GoBack"/>
            <w:bookmarkEnd w:id="0"/>
          </w:p>
          <w:p w:rsidR="00BC3E7B" w:rsidRPr="00C844D4" w:rsidRDefault="00BC3E7B" w:rsidP="00522F8F">
            <w:pPr>
              <w:rPr>
                <w:b/>
              </w:rPr>
            </w:pPr>
            <w:r w:rsidRPr="00C844D4">
              <w:t xml:space="preserve">Four Operations (+, -, x, </w:t>
            </w:r>
            <w:r w:rsidRPr="00C844D4">
              <w:rPr>
                <w:rFonts w:cstheme="minorHAnsi"/>
              </w:rPr>
              <w:t>÷</w:t>
            </w:r>
            <w:r w:rsidRPr="00C844D4">
              <w:t>),   Household Finance, Factors and Multiples,  Powers and Roots, Order of Operations,  Fractions, Decimals and Percentages, Calculating with Fractions,</w:t>
            </w:r>
            <w:r w:rsidRPr="00C844D4">
              <w:rPr>
                <w:b/>
              </w:rPr>
              <w:t xml:space="preserve"> </w:t>
            </w:r>
            <w:r w:rsidRPr="00C844D4">
              <w:t>Rounding and Estimation, Standard Form</w:t>
            </w:r>
          </w:p>
          <w:p w:rsidR="00BC3E7B" w:rsidRPr="00C844D4" w:rsidRDefault="00BC3E7B" w:rsidP="00522F8F">
            <w:pPr>
              <w:rPr>
                <w:b/>
              </w:rPr>
            </w:pPr>
            <w:r w:rsidRPr="00C844D4">
              <w:rPr>
                <w:b/>
              </w:rPr>
              <w:t>Proportion and Ratio</w:t>
            </w:r>
          </w:p>
          <w:p w:rsidR="00BC3E7B" w:rsidRPr="00C844D4" w:rsidRDefault="00BC3E7B" w:rsidP="00522F8F">
            <w:r w:rsidRPr="00C844D4">
              <w:t>Ratio, Direct and Inverse Proportion, Converting Units, Compound Measures, Percentages of Amounts, Percentage Change</w:t>
            </w:r>
          </w:p>
          <w:p w:rsidR="00BC3E7B" w:rsidRPr="00C844D4" w:rsidRDefault="00BC3E7B" w:rsidP="00522F8F">
            <w:pPr>
              <w:rPr>
                <w:b/>
              </w:rPr>
            </w:pPr>
            <w:r w:rsidRPr="00C844D4">
              <w:rPr>
                <w:b/>
              </w:rPr>
              <w:t>Algebra</w:t>
            </w:r>
          </w:p>
          <w:p w:rsidR="00BC3E7B" w:rsidRPr="00C844D4" w:rsidRDefault="00BC3E7B" w:rsidP="00522F8F">
            <w:r w:rsidRPr="00C844D4">
              <w:t>Expressions, Simplifying, Substitution, Expanding and Factorising, Plotting Graphs, Equation of a Straight Line</w:t>
            </w:r>
          </w:p>
          <w:p w:rsidR="00BC3E7B" w:rsidRPr="00C844D4" w:rsidRDefault="00BC3E7B" w:rsidP="00522F8F"/>
        </w:tc>
        <w:tc>
          <w:tcPr>
            <w:tcW w:w="7938" w:type="dxa"/>
            <w:gridSpan w:val="2"/>
          </w:tcPr>
          <w:p w:rsidR="00BC3E7B" w:rsidRPr="00C844D4" w:rsidRDefault="00BC3E7B" w:rsidP="00522F8F">
            <w:pPr>
              <w:rPr>
                <w:b/>
              </w:rPr>
            </w:pPr>
            <w:r w:rsidRPr="00C844D4">
              <w:rPr>
                <w:b/>
              </w:rPr>
              <w:t>Number and Ratio:</w:t>
            </w:r>
          </w:p>
          <w:p w:rsidR="00BC3E7B" w:rsidRPr="00C844D4" w:rsidRDefault="00BC3E7B" w:rsidP="00522F8F">
            <w:r w:rsidRPr="00C844D4">
              <w:t>Powers and Roots, Surds, Recurring Decimals, Rounding and Estimation, Standard Form, Ratio, Percentages, Direct and Inverse Proportion</w:t>
            </w:r>
          </w:p>
          <w:p w:rsidR="00BC3E7B" w:rsidRPr="00C844D4" w:rsidRDefault="00BC3E7B" w:rsidP="00522F8F">
            <w:pPr>
              <w:rPr>
                <w:b/>
              </w:rPr>
            </w:pPr>
            <w:r w:rsidRPr="00C844D4">
              <w:rPr>
                <w:b/>
              </w:rPr>
              <w:t>Algebra:</w:t>
            </w:r>
          </w:p>
          <w:p w:rsidR="00BC3E7B" w:rsidRPr="00C844D4" w:rsidRDefault="00BC3E7B" w:rsidP="00522F8F">
            <w:r w:rsidRPr="00C844D4">
              <w:t>Linear Algebra and Indices, Changing the Subject, Algebraic Fractions, Factorising, Forming and Solving Equations including Quadratics, Completing the Square, Simultaneous Equations</w:t>
            </w:r>
          </w:p>
        </w:tc>
      </w:tr>
      <w:tr w:rsidR="00BC3E7B" w:rsidRPr="00F471F8" w:rsidTr="00C844D4">
        <w:trPr>
          <w:cantSplit/>
          <w:trHeight w:val="1921"/>
        </w:trPr>
        <w:tc>
          <w:tcPr>
            <w:tcW w:w="1129" w:type="dxa"/>
            <w:shd w:val="clear" w:color="auto" w:fill="002060"/>
            <w:textDirection w:val="btLr"/>
          </w:tcPr>
          <w:p w:rsidR="00BC3E7B" w:rsidRPr="00F02669" w:rsidRDefault="00BC3E7B" w:rsidP="00522F8F">
            <w:pPr>
              <w:pStyle w:val="NoSpacing"/>
              <w:ind w:left="113" w:right="113"/>
              <w:jc w:val="center"/>
              <w:rPr>
                <w:b/>
                <w:sz w:val="28"/>
                <w:szCs w:val="24"/>
              </w:rPr>
            </w:pPr>
            <w:r w:rsidRPr="00F02669">
              <w:rPr>
                <w:b/>
                <w:sz w:val="28"/>
                <w:szCs w:val="24"/>
              </w:rPr>
              <w:t>Spring term</w:t>
            </w:r>
          </w:p>
        </w:tc>
        <w:tc>
          <w:tcPr>
            <w:tcW w:w="7088" w:type="dxa"/>
            <w:shd w:val="clear" w:color="auto" w:fill="auto"/>
          </w:tcPr>
          <w:p w:rsidR="00BC3E7B" w:rsidRPr="00C844D4" w:rsidRDefault="00BC3E7B" w:rsidP="00522F8F">
            <w:pPr>
              <w:rPr>
                <w:b/>
              </w:rPr>
            </w:pPr>
            <w:r w:rsidRPr="00C844D4">
              <w:rPr>
                <w:b/>
              </w:rPr>
              <w:t>Algebra</w:t>
            </w:r>
          </w:p>
          <w:p w:rsidR="00BC3E7B" w:rsidRPr="00C844D4" w:rsidRDefault="00BC3E7B" w:rsidP="00522F8F">
            <w:r w:rsidRPr="00C844D4">
              <w:t>Simultaneous Equations, Algebraic Argument, Inequalities, Changing the Subject, Sequences</w:t>
            </w:r>
          </w:p>
          <w:p w:rsidR="00BC3E7B" w:rsidRPr="00C844D4" w:rsidRDefault="00BC3E7B" w:rsidP="00522F8F">
            <w:pPr>
              <w:rPr>
                <w:b/>
              </w:rPr>
            </w:pPr>
            <w:r w:rsidRPr="00C844D4">
              <w:rPr>
                <w:b/>
              </w:rPr>
              <w:t>Geometry</w:t>
            </w:r>
          </w:p>
          <w:p w:rsidR="00BC3E7B" w:rsidRPr="00C844D4" w:rsidRDefault="00BC3E7B" w:rsidP="00522F8F">
            <w:r w:rsidRPr="00C844D4">
              <w:t>Properties of Shape, Angles in Polygons, Angles in Parallel Lines, Area and Perimeter, Pythagoras’ Theorem, Similar Shapes, Transformations, Circles, Arc Lengths and Sectors, Plans and Elevations, Volume, Surface Area, Trigonometry</w:t>
            </w:r>
          </w:p>
        </w:tc>
        <w:tc>
          <w:tcPr>
            <w:tcW w:w="7938" w:type="dxa"/>
            <w:gridSpan w:val="2"/>
          </w:tcPr>
          <w:p w:rsidR="00BC3E7B" w:rsidRPr="00C844D4" w:rsidRDefault="00BC3E7B" w:rsidP="00522F8F">
            <w:pPr>
              <w:rPr>
                <w:b/>
              </w:rPr>
            </w:pPr>
            <w:r w:rsidRPr="00C844D4">
              <w:rPr>
                <w:b/>
              </w:rPr>
              <w:t>Algebra</w:t>
            </w:r>
          </w:p>
          <w:p w:rsidR="00BC3E7B" w:rsidRPr="00C844D4" w:rsidRDefault="00BC3E7B" w:rsidP="00522F8F">
            <w:r w:rsidRPr="00C844D4">
              <w:t>Proof, Iteration, Composite and Inverse Functions, Straight line and Quadratic Graphs, Sequences, Equation of a Circle, Inequalities</w:t>
            </w:r>
          </w:p>
          <w:p w:rsidR="00BC3E7B" w:rsidRPr="00C844D4" w:rsidRDefault="00BC3E7B" w:rsidP="00522F8F">
            <w:pPr>
              <w:rPr>
                <w:b/>
              </w:rPr>
            </w:pPr>
            <w:r w:rsidRPr="00C844D4">
              <w:rPr>
                <w:b/>
              </w:rPr>
              <w:t>Geometry</w:t>
            </w:r>
          </w:p>
          <w:p w:rsidR="00BC3E7B" w:rsidRPr="00C844D4" w:rsidRDefault="00BC3E7B" w:rsidP="00522F8F">
            <w:r w:rsidRPr="00C844D4">
              <w:t>Similar Shapes and Congruency, Area and Volume, Circle Theorems, Transformations, Angles in Polygons, Trigonometry</w:t>
            </w:r>
          </w:p>
        </w:tc>
      </w:tr>
      <w:tr w:rsidR="00BC3E7B" w:rsidRPr="00BD6BC1" w:rsidTr="00BC3E7B">
        <w:trPr>
          <w:cantSplit/>
          <w:trHeight w:val="1217"/>
        </w:trPr>
        <w:tc>
          <w:tcPr>
            <w:tcW w:w="1129" w:type="dxa"/>
            <w:tcBorders>
              <w:bottom w:val="single" w:sz="4" w:space="0" w:color="auto"/>
            </w:tcBorders>
            <w:shd w:val="clear" w:color="auto" w:fill="002060"/>
            <w:textDirection w:val="btLr"/>
          </w:tcPr>
          <w:p w:rsidR="00BC3E7B" w:rsidRPr="00F02669" w:rsidRDefault="00BC3E7B" w:rsidP="00522F8F">
            <w:pPr>
              <w:pStyle w:val="NoSpacing"/>
              <w:ind w:left="113" w:right="113"/>
              <w:jc w:val="center"/>
              <w:rPr>
                <w:b/>
                <w:sz w:val="28"/>
                <w:szCs w:val="24"/>
              </w:rPr>
            </w:pPr>
            <w:r w:rsidRPr="00F02669">
              <w:rPr>
                <w:b/>
                <w:sz w:val="28"/>
                <w:szCs w:val="24"/>
              </w:rPr>
              <w:t>Summer term</w:t>
            </w:r>
          </w:p>
          <w:p w:rsidR="00BC3E7B" w:rsidRPr="00F02669" w:rsidRDefault="00BC3E7B" w:rsidP="00522F8F">
            <w:pPr>
              <w:pStyle w:val="NoSpacing"/>
              <w:ind w:left="113" w:right="113"/>
              <w:jc w:val="center"/>
              <w:rPr>
                <w:b/>
                <w:sz w:val="28"/>
                <w:szCs w:val="24"/>
              </w:rPr>
            </w:pPr>
          </w:p>
        </w:tc>
        <w:tc>
          <w:tcPr>
            <w:tcW w:w="7088" w:type="dxa"/>
            <w:tcBorders>
              <w:bottom w:val="single" w:sz="4" w:space="0" w:color="auto"/>
            </w:tcBorders>
            <w:shd w:val="clear" w:color="auto" w:fill="auto"/>
          </w:tcPr>
          <w:p w:rsidR="00BC3E7B" w:rsidRPr="00C844D4" w:rsidRDefault="00BC3E7B" w:rsidP="00522F8F">
            <w:pPr>
              <w:rPr>
                <w:b/>
              </w:rPr>
            </w:pPr>
            <w:r w:rsidRPr="00C844D4">
              <w:rPr>
                <w:b/>
              </w:rPr>
              <w:t>Geometry</w:t>
            </w:r>
          </w:p>
          <w:p w:rsidR="00BC3E7B" w:rsidRPr="00C844D4" w:rsidRDefault="00BC3E7B" w:rsidP="00522F8F">
            <w:r w:rsidRPr="00C844D4">
              <w:t>Bearings, Construction and Loci</w:t>
            </w:r>
          </w:p>
          <w:p w:rsidR="00BC3E7B" w:rsidRPr="00C844D4" w:rsidRDefault="00BC3E7B" w:rsidP="00522F8F">
            <w:pPr>
              <w:rPr>
                <w:b/>
              </w:rPr>
            </w:pPr>
            <w:r w:rsidRPr="00C844D4">
              <w:rPr>
                <w:b/>
              </w:rPr>
              <w:t>Probability and Statistics</w:t>
            </w:r>
          </w:p>
          <w:p w:rsidR="00BC3E7B" w:rsidRPr="00C844D4" w:rsidRDefault="00BC3E7B" w:rsidP="00522F8F">
            <w:pPr>
              <w:pStyle w:val="NoSpacing"/>
            </w:pPr>
            <w:r w:rsidRPr="00C844D4">
              <w:t>Probability Experiments, Mutually Exclusive Events, Two way Tables, Frequency Trees, Probability Trees, Venn Diagrams, Averages and Spread, Charts and Graphs</w:t>
            </w:r>
          </w:p>
        </w:tc>
        <w:tc>
          <w:tcPr>
            <w:tcW w:w="7938" w:type="dxa"/>
            <w:gridSpan w:val="2"/>
            <w:tcBorders>
              <w:bottom w:val="single" w:sz="4" w:space="0" w:color="auto"/>
            </w:tcBorders>
          </w:tcPr>
          <w:p w:rsidR="00BC3E7B" w:rsidRPr="00C844D4" w:rsidRDefault="00BC3E7B" w:rsidP="00522F8F">
            <w:pPr>
              <w:rPr>
                <w:b/>
              </w:rPr>
            </w:pPr>
            <w:r w:rsidRPr="00C844D4">
              <w:rPr>
                <w:b/>
              </w:rPr>
              <w:t>Geometry</w:t>
            </w:r>
          </w:p>
          <w:p w:rsidR="00BC3E7B" w:rsidRPr="00C844D4" w:rsidRDefault="00BC3E7B" w:rsidP="00522F8F">
            <w:r w:rsidRPr="00C844D4">
              <w:t>Construction and Loci, Bearings, Vectors</w:t>
            </w:r>
          </w:p>
          <w:p w:rsidR="00BC3E7B" w:rsidRPr="00C844D4" w:rsidRDefault="00BC3E7B" w:rsidP="00522F8F">
            <w:pPr>
              <w:rPr>
                <w:b/>
              </w:rPr>
            </w:pPr>
            <w:r w:rsidRPr="00C844D4">
              <w:rPr>
                <w:b/>
              </w:rPr>
              <w:t>Probability and Statistics:</w:t>
            </w:r>
          </w:p>
          <w:p w:rsidR="00BC3E7B" w:rsidRPr="00C844D4" w:rsidRDefault="00BC3E7B" w:rsidP="00522F8F">
            <w:pPr>
              <w:pStyle w:val="NoSpacing"/>
            </w:pPr>
            <w:r w:rsidRPr="00C844D4">
              <w:t>Probability trees, Venn diagrams, Averages, Histograms, Cumulative Frequency Graphs</w:t>
            </w:r>
          </w:p>
        </w:tc>
      </w:tr>
      <w:tr w:rsidR="00BC3E7B" w:rsidRPr="004462C9" w:rsidTr="00C844D4">
        <w:trPr>
          <w:cantSplit/>
          <w:trHeight w:val="1550"/>
        </w:trPr>
        <w:tc>
          <w:tcPr>
            <w:tcW w:w="1129" w:type="dxa"/>
            <w:tcBorders>
              <w:bottom w:val="single" w:sz="4" w:space="0" w:color="auto"/>
            </w:tcBorders>
            <w:shd w:val="clear" w:color="auto" w:fill="7030A0"/>
            <w:textDirection w:val="btLr"/>
          </w:tcPr>
          <w:p w:rsidR="00BC3E7B" w:rsidRPr="00F02669" w:rsidRDefault="00BC3E7B" w:rsidP="00522F8F">
            <w:pPr>
              <w:pStyle w:val="NoSpacing"/>
              <w:ind w:left="113" w:right="113"/>
              <w:jc w:val="center"/>
              <w:rPr>
                <w:b/>
                <w:sz w:val="28"/>
                <w:szCs w:val="24"/>
              </w:rPr>
            </w:pPr>
            <w:r w:rsidRPr="00307C4F">
              <w:rPr>
                <w:b/>
                <w:color w:val="FFFFFF" w:themeColor="background1"/>
                <w:sz w:val="28"/>
                <w:szCs w:val="24"/>
              </w:rPr>
              <w:lastRenderedPageBreak/>
              <w:t>Assessment</w:t>
            </w:r>
          </w:p>
        </w:tc>
        <w:tc>
          <w:tcPr>
            <w:tcW w:w="7088" w:type="dxa"/>
            <w:tcBorders>
              <w:bottom w:val="single" w:sz="4" w:space="0" w:color="auto"/>
            </w:tcBorders>
            <w:shd w:val="clear" w:color="auto" w:fill="auto"/>
          </w:tcPr>
          <w:p w:rsidR="00BC3E7B" w:rsidRPr="00C844D4" w:rsidRDefault="00BC3E7B" w:rsidP="00522F8F">
            <w:pPr>
              <w:pStyle w:val="NoSpacing"/>
            </w:pPr>
            <w:r w:rsidRPr="00C844D4">
              <w:t>Students will be assessed twice a half term internally with end of year exams in July, one non-calculator and one calculator</w:t>
            </w:r>
          </w:p>
        </w:tc>
        <w:tc>
          <w:tcPr>
            <w:tcW w:w="7938" w:type="dxa"/>
            <w:gridSpan w:val="2"/>
            <w:tcBorders>
              <w:bottom w:val="single" w:sz="4" w:space="0" w:color="auto"/>
            </w:tcBorders>
          </w:tcPr>
          <w:p w:rsidR="00BC3E7B" w:rsidRDefault="00BC3E7B" w:rsidP="00522F8F">
            <w:pPr>
              <w:pStyle w:val="NoSpacing"/>
            </w:pPr>
            <w:r w:rsidRPr="00C844D4">
              <w:t>Students will be assessed twice a half term internally with end of year exams in July, one non-calculator and one calculator</w:t>
            </w:r>
          </w:p>
          <w:p w:rsidR="00C844D4" w:rsidRDefault="00C844D4" w:rsidP="00522F8F">
            <w:pPr>
              <w:pStyle w:val="NoSpacing"/>
            </w:pPr>
          </w:p>
          <w:p w:rsidR="008A69EA" w:rsidRDefault="008A69EA" w:rsidP="00522F8F">
            <w:pPr>
              <w:pStyle w:val="NoSpacing"/>
            </w:pPr>
          </w:p>
          <w:p w:rsidR="008A69EA" w:rsidRDefault="008A69EA" w:rsidP="00522F8F">
            <w:pPr>
              <w:pStyle w:val="NoSpacing"/>
            </w:pPr>
          </w:p>
          <w:p w:rsidR="008A69EA" w:rsidRPr="00C844D4" w:rsidRDefault="008A69EA" w:rsidP="00522F8F">
            <w:pPr>
              <w:pStyle w:val="NoSpacing"/>
            </w:pPr>
          </w:p>
        </w:tc>
      </w:tr>
    </w:tbl>
    <w:p w:rsidR="00BC3E7B" w:rsidRDefault="00BC3E7B" w:rsidP="007E1CAD">
      <w:pPr>
        <w:pStyle w:val="NoSpacing"/>
      </w:pPr>
    </w:p>
    <w:tbl>
      <w:tblPr>
        <w:tblStyle w:val="TableGrid1"/>
        <w:tblpPr w:leftFromText="180" w:rightFromText="180" w:vertAnchor="page" w:horzAnchor="margin" w:tblpX="-1003" w:tblpY="1753"/>
        <w:tblW w:w="16013" w:type="dxa"/>
        <w:tblLook w:val="04A0" w:firstRow="1" w:lastRow="0" w:firstColumn="1" w:lastColumn="0" w:noHBand="0" w:noVBand="1"/>
      </w:tblPr>
      <w:tblGrid>
        <w:gridCol w:w="1129"/>
        <w:gridCol w:w="7088"/>
        <w:gridCol w:w="7796"/>
      </w:tblGrid>
      <w:tr w:rsidR="00BC3E7B" w:rsidRPr="00BC3E7B" w:rsidTr="00EF6447">
        <w:trPr>
          <w:trHeight w:val="286"/>
        </w:trPr>
        <w:tc>
          <w:tcPr>
            <w:tcW w:w="1129" w:type="dxa"/>
            <w:shd w:val="clear" w:color="auto" w:fill="002060"/>
          </w:tcPr>
          <w:p w:rsidR="00BC3E7B" w:rsidRPr="00BC3E7B" w:rsidRDefault="00BC3E7B" w:rsidP="00BC3E7B">
            <w:pPr>
              <w:rPr>
                <w:b/>
                <w:sz w:val="28"/>
                <w:szCs w:val="28"/>
              </w:rPr>
            </w:pPr>
            <w:r w:rsidRPr="00BC3E7B">
              <w:rPr>
                <w:b/>
                <w:sz w:val="28"/>
                <w:szCs w:val="28"/>
              </w:rPr>
              <w:lastRenderedPageBreak/>
              <w:t>Year 11</w:t>
            </w:r>
          </w:p>
        </w:tc>
        <w:tc>
          <w:tcPr>
            <w:tcW w:w="7088" w:type="dxa"/>
            <w:shd w:val="clear" w:color="auto" w:fill="002060"/>
          </w:tcPr>
          <w:p w:rsidR="00BC3E7B" w:rsidRPr="00BC3E7B" w:rsidRDefault="00BC3E7B" w:rsidP="00BC3E7B">
            <w:pPr>
              <w:jc w:val="center"/>
              <w:rPr>
                <w:b/>
                <w:sz w:val="28"/>
                <w:szCs w:val="20"/>
              </w:rPr>
            </w:pPr>
            <w:r w:rsidRPr="00BC3E7B">
              <w:rPr>
                <w:b/>
                <w:sz w:val="28"/>
                <w:szCs w:val="20"/>
              </w:rPr>
              <w:t>Foundation</w:t>
            </w:r>
          </w:p>
        </w:tc>
        <w:tc>
          <w:tcPr>
            <w:tcW w:w="7796" w:type="dxa"/>
            <w:shd w:val="clear" w:color="auto" w:fill="002060"/>
          </w:tcPr>
          <w:p w:rsidR="00BC3E7B" w:rsidRPr="00BC3E7B" w:rsidRDefault="00BC3E7B" w:rsidP="00BC3E7B">
            <w:pPr>
              <w:jc w:val="center"/>
              <w:rPr>
                <w:b/>
                <w:sz w:val="28"/>
                <w:szCs w:val="20"/>
              </w:rPr>
            </w:pPr>
            <w:r w:rsidRPr="00BC3E7B">
              <w:rPr>
                <w:b/>
                <w:sz w:val="28"/>
                <w:szCs w:val="20"/>
              </w:rPr>
              <w:t>Higher</w:t>
            </w:r>
          </w:p>
        </w:tc>
      </w:tr>
      <w:tr w:rsidR="00BC3E7B" w:rsidRPr="00BC3E7B" w:rsidTr="00EF6447">
        <w:trPr>
          <w:cantSplit/>
          <w:trHeight w:val="1843"/>
        </w:trPr>
        <w:tc>
          <w:tcPr>
            <w:tcW w:w="1129" w:type="dxa"/>
            <w:shd w:val="clear" w:color="auto" w:fill="002060"/>
            <w:textDirection w:val="btLr"/>
          </w:tcPr>
          <w:p w:rsidR="00BC3E7B" w:rsidRPr="00BC3E7B" w:rsidRDefault="00BC3E7B" w:rsidP="00BC3E7B">
            <w:pPr>
              <w:ind w:left="113" w:right="113"/>
              <w:jc w:val="center"/>
              <w:rPr>
                <w:b/>
                <w:sz w:val="28"/>
                <w:szCs w:val="24"/>
              </w:rPr>
            </w:pPr>
            <w:r w:rsidRPr="00BC3E7B">
              <w:rPr>
                <w:b/>
                <w:sz w:val="28"/>
                <w:szCs w:val="24"/>
              </w:rPr>
              <w:t>Autumn term</w:t>
            </w:r>
          </w:p>
        </w:tc>
        <w:tc>
          <w:tcPr>
            <w:tcW w:w="7088" w:type="dxa"/>
            <w:shd w:val="clear" w:color="auto" w:fill="auto"/>
          </w:tcPr>
          <w:p w:rsidR="00BC3E7B" w:rsidRPr="00C844D4" w:rsidRDefault="00BC3E7B" w:rsidP="00BC3E7B">
            <w:pPr>
              <w:rPr>
                <w:b/>
              </w:rPr>
            </w:pPr>
            <w:r w:rsidRPr="00C844D4">
              <w:rPr>
                <w:b/>
              </w:rPr>
              <w:t>Number and Ratio:</w:t>
            </w:r>
          </w:p>
          <w:p w:rsidR="00BC3E7B" w:rsidRPr="00C844D4" w:rsidRDefault="00BC3E7B" w:rsidP="00BC3E7B">
            <w:r w:rsidRPr="00C844D4">
              <w:t xml:space="preserve">Four Operations (+, -, x, </w:t>
            </w:r>
            <w:r w:rsidRPr="00C844D4">
              <w:rPr>
                <w:rFonts w:cstheme="minorHAnsi"/>
              </w:rPr>
              <w:t>÷</w:t>
            </w:r>
            <w:r w:rsidRPr="00C844D4">
              <w:t>), Factors and Multiples, BIDMAS, Powers and Roots, Fractions, Rounding and Estimation, Standard Form, Ratio, Direct and Inverse Proportion, Standard Units and Compound Measures, Percentages</w:t>
            </w:r>
          </w:p>
          <w:p w:rsidR="00BC3E7B" w:rsidRPr="00C844D4" w:rsidRDefault="00BC3E7B" w:rsidP="00BC3E7B">
            <w:pPr>
              <w:rPr>
                <w:b/>
              </w:rPr>
            </w:pPr>
            <w:r w:rsidRPr="00C844D4">
              <w:rPr>
                <w:b/>
              </w:rPr>
              <w:t>Algebra:</w:t>
            </w:r>
          </w:p>
          <w:p w:rsidR="00BC3E7B" w:rsidRPr="00C844D4" w:rsidRDefault="00BC3E7B" w:rsidP="00BC3E7B">
            <w:r w:rsidRPr="00C844D4">
              <w:t>Simplifying expressions, Expanding and Factorising, Substitution, Straight Line and Quadratic Graphs, Graphs in Real Context, Forming and Solving Equations, Changing the Subject, Inequalities, Sequences</w:t>
            </w:r>
          </w:p>
        </w:tc>
        <w:tc>
          <w:tcPr>
            <w:tcW w:w="7796" w:type="dxa"/>
          </w:tcPr>
          <w:p w:rsidR="00BC3E7B" w:rsidRPr="00C844D4" w:rsidRDefault="00BC3E7B" w:rsidP="00BC3E7B">
            <w:pPr>
              <w:rPr>
                <w:b/>
              </w:rPr>
            </w:pPr>
            <w:r w:rsidRPr="00C844D4">
              <w:rPr>
                <w:b/>
              </w:rPr>
              <w:t>Number and Ratio:</w:t>
            </w:r>
          </w:p>
          <w:p w:rsidR="00BC3E7B" w:rsidRPr="00C844D4" w:rsidRDefault="00BC3E7B" w:rsidP="00BC3E7B">
            <w:r w:rsidRPr="00C844D4">
              <w:t>Powers and Roots, Surds, Recurring Decimals, Rounding and Estimation, Standard Form, Ratio, Percentages, Direct and Inverse Proportion</w:t>
            </w:r>
          </w:p>
          <w:p w:rsidR="00BC3E7B" w:rsidRPr="00C844D4" w:rsidRDefault="00BC3E7B" w:rsidP="00BC3E7B">
            <w:pPr>
              <w:rPr>
                <w:b/>
              </w:rPr>
            </w:pPr>
            <w:r w:rsidRPr="00C844D4">
              <w:rPr>
                <w:b/>
              </w:rPr>
              <w:t>Algebra:</w:t>
            </w:r>
          </w:p>
          <w:p w:rsidR="00BC3E7B" w:rsidRPr="00C844D4" w:rsidRDefault="00BC3E7B" w:rsidP="00BC3E7B">
            <w:r w:rsidRPr="00C844D4">
              <w:t>Linear Algebra and Indices, Changing the Subject, Algebraic Fractions, Factorising, Forming and Solving Equations including Quadratics, Completing the Square, Simultaneous Equations, Proof, Iteration, Composite and Inverse Functions, Straight line and Quadratic Graphs, Sequences, Equation of a Circle, Inequalities</w:t>
            </w:r>
          </w:p>
        </w:tc>
      </w:tr>
      <w:tr w:rsidR="00BC3E7B" w:rsidRPr="00BC3E7B" w:rsidTr="00EF6447">
        <w:trPr>
          <w:cantSplit/>
          <w:trHeight w:val="1682"/>
        </w:trPr>
        <w:tc>
          <w:tcPr>
            <w:tcW w:w="1129" w:type="dxa"/>
            <w:shd w:val="clear" w:color="auto" w:fill="002060"/>
            <w:textDirection w:val="btLr"/>
          </w:tcPr>
          <w:p w:rsidR="00BC3E7B" w:rsidRPr="00BC3E7B" w:rsidRDefault="00BC3E7B" w:rsidP="00BC3E7B">
            <w:pPr>
              <w:ind w:left="113" w:right="113"/>
              <w:jc w:val="center"/>
              <w:rPr>
                <w:b/>
                <w:sz w:val="28"/>
                <w:szCs w:val="24"/>
              </w:rPr>
            </w:pPr>
            <w:r w:rsidRPr="00BC3E7B">
              <w:rPr>
                <w:b/>
                <w:sz w:val="28"/>
                <w:szCs w:val="24"/>
              </w:rPr>
              <w:t>Spring term</w:t>
            </w:r>
          </w:p>
        </w:tc>
        <w:tc>
          <w:tcPr>
            <w:tcW w:w="7088" w:type="dxa"/>
            <w:shd w:val="clear" w:color="auto" w:fill="auto"/>
          </w:tcPr>
          <w:p w:rsidR="00BC3E7B" w:rsidRPr="00C844D4" w:rsidRDefault="00BC3E7B" w:rsidP="00BC3E7B">
            <w:pPr>
              <w:rPr>
                <w:b/>
              </w:rPr>
            </w:pPr>
            <w:r w:rsidRPr="00C844D4">
              <w:rPr>
                <w:b/>
              </w:rPr>
              <w:t>Geometry:</w:t>
            </w:r>
          </w:p>
          <w:p w:rsidR="00BC3E7B" w:rsidRPr="00C844D4" w:rsidRDefault="00BC3E7B" w:rsidP="00BC3E7B">
            <w:r w:rsidRPr="00C844D4">
              <w:t>Properties of Shapes, Angles in Polygons, Angles in Parallel Lines, Area and Perimeter, Pythagoras’ Theorem, Similar Shapes, Transformations, 3D Shapes, Volume, Trigonometry, Bearings, Construction and Loci</w:t>
            </w:r>
          </w:p>
          <w:p w:rsidR="00BC3E7B" w:rsidRPr="00C844D4" w:rsidRDefault="00BC3E7B" w:rsidP="00BC3E7B">
            <w:pPr>
              <w:rPr>
                <w:b/>
              </w:rPr>
            </w:pPr>
            <w:r w:rsidRPr="00C844D4">
              <w:rPr>
                <w:b/>
              </w:rPr>
              <w:t>Probability and Statistics:</w:t>
            </w:r>
          </w:p>
          <w:p w:rsidR="00BC3E7B" w:rsidRPr="00C844D4" w:rsidRDefault="00BC3E7B" w:rsidP="00BC3E7B">
            <w:r w:rsidRPr="00C844D4">
              <w:t>Theoretical and Experimental Probability, Mutually Exclusive and Exhaustive Events, Averages and Spread, Probability Trees, Venn Diagrams, Categorical Data, Pie Charts, Scatter Graphs</w:t>
            </w:r>
          </w:p>
        </w:tc>
        <w:tc>
          <w:tcPr>
            <w:tcW w:w="7796" w:type="dxa"/>
          </w:tcPr>
          <w:p w:rsidR="00BC3E7B" w:rsidRPr="00C844D4" w:rsidRDefault="00BC3E7B" w:rsidP="00BC3E7B">
            <w:pPr>
              <w:rPr>
                <w:b/>
              </w:rPr>
            </w:pPr>
            <w:r w:rsidRPr="00C844D4">
              <w:rPr>
                <w:b/>
              </w:rPr>
              <w:t>Geometry:</w:t>
            </w:r>
          </w:p>
          <w:p w:rsidR="00BC3E7B" w:rsidRPr="00C844D4" w:rsidRDefault="00BC3E7B" w:rsidP="00BC3E7B">
            <w:r w:rsidRPr="00C844D4">
              <w:t>Similar Shapes and Congruency, Area and Volume, Circle Theorems, Transformations, Angles in Polygons, Trigonometry, Construction and Loci, Bearings, Vectors</w:t>
            </w:r>
          </w:p>
          <w:p w:rsidR="00BC3E7B" w:rsidRPr="00C844D4" w:rsidRDefault="00BC3E7B" w:rsidP="00BC3E7B">
            <w:pPr>
              <w:rPr>
                <w:b/>
              </w:rPr>
            </w:pPr>
            <w:r w:rsidRPr="00C844D4">
              <w:rPr>
                <w:b/>
              </w:rPr>
              <w:t>Probability and Statistics:</w:t>
            </w:r>
          </w:p>
          <w:p w:rsidR="00BC3E7B" w:rsidRPr="00C844D4" w:rsidRDefault="00BC3E7B" w:rsidP="00BC3E7B">
            <w:r w:rsidRPr="00C844D4">
              <w:t>Probability trees, Venn diagrams, Averages, Histograms, Cumulative Frequency Graphs</w:t>
            </w:r>
          </w:p>
        </w:tc>
      </w:tr>
      <w:tr w:rsidR="00BC3E7B" w:rsidRPr="00BC3E7B" w:rsidTr="00EF6447">
        <w:trPr>
          <w:cantSplit/>
          <w:trHeight w:val="1217"/>
        </w:trPr>
        <w:tc>
          <w:tcPr>
            <w:tcW w:w="1129" w:type="dxa"/>
            <w:shd w:val="clear" w:color="auto" w:fill="002060"/>
            <w:textDirection w:val="btLr"/>
          </w:tcPr>
          <w:p w:rsidR="00BC3E7B" w:rsidRPr="00BC3E7B" w:rsidRDefault="00BC3E7B" w:rsidP="00BC3E7B">
            <w:pPr>
              <w:ind w:left="113" w:right="113"/>
              <w:jc w:val="center"/>
              <w:rPr>
                <w:b/>
                <w:sz w:val="28"/>
                <w:szCs w:val="24"/>
              </w:rPr>
            </w:pPr>
            <w:r w:rsidRPr="00BC3E7B">
              <w:rPr>
                <w:b/>
                <w:sz w:val="28"/>
                <w:szCs w:val="24"/>
              </w:rPr>
              <w:t>Summer term</w:t>
            </w:r>
          </w:p>
          <w:p w:rsidR="00BC3E7B" w:rsidRPr="00BC3E7B" w:rsidRDefault="00BC3E7B" w:rsidP="00BC3E7B">
            <w:pPr>
              <w:ind w:left="113" w:right="113"/>
              <w:jc w:val="center"/>
              <w:rPr>
                <w:b/>
                <w:sz w:val="28"/>
                <w:szCs w:val="24"/>
              </w:rPr>
            </w:pPr>
          </w:p>
        </w:tc>
        <w:tc>
          <w:tcPr>
            <w:tcW w:w="7088" w:type="dxa"/>
            <w:shd w:val="clear" w:color="auto" w:fill="auto"/>
          </w:tcPr>
          <w:p w:rsidR="00BC3E7B" w:rsidRPr="00C844D4" w:rsidRDefault="00BC3E7B" w:rsidP="00BC3E7B">
            <w:r w:rsidRPr="00C844D4">
              <w:t>Revision of key topics in preparation for end of year assessments</w:t>
            </w:r>
          </w:p>
          <w:p w:rsidR="00BC3E7B" w:rsidRPr="00C844D4" w:rsidRDefault="00BC3E7B" w:rsidP="00BC3E7B"/>
          <w:p w:rsidR="00BC3E7B" w:rsidRPr="00C844D4" w:rsidRDefault="00BC3E7B" w:rsidP="00BC3E7B"/>
        </w:tc>
        <w:tc>
          <w:tcPr>
            <w:tcW w:w="7796" w:type="dxa"/>
          </w:tcPr>
          <w:p w:rsidR="00BC3E7B" w:rsidRPr="00C844D4" w:rsidRDefault="00BC3E7B" w:rsidP="00BC3E7B">
            <w:r w:rsidRPr="00C844D4">
              <w:t>Revision of key topics in preparation for end of year assessments</w:t>
            </w:r>
          </w:p>
          <w:p w:rsidR="00BC3E7B" w:rsidRPr="00C844D4" w:rsidRDefault="00BC3E7B" w:rsidP="00BC3E7B"/>
        </w:tc>
      </w:tr>
      <w:tr w:rsidR="00BC3E7B" w:rsidRPr="00BC3E7B" w:rsidTr="00EF6447">
        <w:trPr>
          <w:cantSplit/>
          <w:trHeight w:val="132"/>
        </w:trPr>
        <w:tc>
          <w:tcPr>
            <w:tcW w:w="1129" w:type="dxa"/>
            <w:shd w:val="clear" w:color="auto" w:fill="7030A0"/>
            <w:textDirection w:val="btLr"/>
          </w:tcPr>
          <w:p w:rsidR="00BC3E7B" w:rsidRPr="00BC3E7B" w:rsidRDefault="00BC3E7B" w:rsidP="00BC3E7B">
            <w:pPr>
              <w:ind w:left="113" w:right="113"/>
              <w:jc w:val="center"/>
              <w:rPr>
                <w:b/>
                <w:sz w:val="28"/>
                <w:szCs w:val="24"/>
              </w:rPr>
            </w:pPr>
            <w:r w:rsidRPr="00BC3E7B">
              <w:rPr>
                <w:b/>
                <w:color w:val="FFFFFF" w:themeColor="background1"/>
                <w:sz w:val="28"/>
                <w:szCs w:val="24"/>
              </w:rPr>
              <w:t>Assessment</w:t>
            </w:r>
          </w:p>
        </w:tc>
        <w:tc>
          <w:tcPr>
            <w:tcW w:w="7088" w:type="dxa"/>
            <w:shd w:val="clear" w:color="auto" w:fill="auto"/>
          </w:tcPr>
          <w:p w:rsidR="00BC3E7B" w:rsidRPr="00C844D4" w:rsidRDefault="00BC3E7B" w:rsidP="00BC3E7B">
            <w:r w:rsidRPr="00C844D4">
              <w:t>Assessment is made up of three exams which are all sat at the end of year 11 (May – June):</w:t>
            </w:r>
          </w:p>
          <w:p w:rsidR="00BC3E7B" w:rsidRPr="00C844D4" w:rsidRDefault="00BC3E7B" w:rsidP="00BC3E7B">
            <w:pPr>
              <w:numPr>
                <w:ilvl w:val="0"/>
                <w:numId w:val="29"/>
              </w:numPr>
            </w:pPr>
            <w:r w:rsidRPr="00C844D4">
              <w:t xml:space="preserve">Paper 1 Non-Calculator </w:t>
            </w:r>
          </w:p>
          <w:p w:rsidR="00BC3E7B" w:rsidRPr="00C844D4" w:rsidRDefault="00BC3E7B" w:rsidP="00BC3E7B">
            <w:pPr>
              <w:numPr>
                <w:ilvl w:val="0"/>
                <w:numId w:val="29"/>
              </w:numPr>
            </w:pPr>
            <w:r w:rsidRPr="00C844D4">
              <w:t>Paper 2 Calculator</w:t>
            </w:r>
          </w:p>
          <w:p w:rsidR="00BC3E7B" w:rsidRPr="00C844D4" w:rsidRDefault="00BC3E7B" w:rsidP="00BC3E7B">
            <w:pPr>
              <w:numPr>
                <w:ilvl w:val="0"/>
                <w:numId w:val="29"/>
              </w:numPr>
            </w:pPr>
            <w:r w:rsidRPr="00C844D4">
              <w:t>Paper 3 Calculator</w:t>
            </w:r>
          </w:p>
          <w:p w:rsidR="00BC3E7B" w:rsidRPr="00C844D4" w:rsidRDefault="00BC3E7B" w:rsidP="00BC3E7B">
            <w:r w:rsidRPr="00C844D4">
              <w:rPr>
                <w:rFonts w:eastAsia="Times New Roman" w:cstheme="minorHAnsi"/>
                <w:bCs/>
                <w:lang w:val="en" w:eastAsia="en-GB"/>
              </w:rPr>
              <w:t>The exams have no other requirements – any topic covered throughout the year could come up in each of the exams.</w:t>
            </w:r>
          </w:p>
        </w:tc>
        <w:tc>
          <w:tcPr>
            <w:tcW w:w="7796" w:type="dxa"/>
          </w:tcPr>
          <w:p w:rsidR="00BC3E7B" w:rsidRPr="00C844D4" w:rsidRDefault="00BC3E7B" w:rsidP="00BC3E7B">
            <w:r w:rsidRPr="00C844D4">
              <w:t>Assessment is made up of three exams which are all sat at the end of year 11 (May – June):</w:t>
            </w:r>
          </w:p>
          <w:p w:rsidR="00BC3E7B" w:rsidRPr="00C844D4" w:rsidRDefault="00BC3E7B" w:rsidP="00BC3E7B">
            <w:pPr>
              <w:numPr>
                <w:ilvl w:val="0"/>
                <w:numId w:val="30"/>
              </w:numPr>
            </w:pPr>
            <w:r w:rsidRPr="00C844D4">
              <w:t xml:space="preserve">Paper 1 Non-Calculator </w:t>
            </w:r>
          </w:p>
          <w:p w:rsidR="00BC3E7B" w:rsidRPr="00C844D4" w:rsidRDefault="00BC3E7B" w:rsidP="00BC3E7B">
            <w:pPr>
              <w:numPr>
                <w:ilvl w:val="0"/>
                <w:numId w:val="30"/>
              </w:numPr>
            </w:pPr>
            <w:r w:rsidRPr="00C844D4">
              <w:t>Paper 2 Calculator</w:t>
            </w:r>
          </w:p>
          <w:p w:rsidR="00BC3E7B" w:rsidRPr="00C844D4" w:rsidRDefault="00BC3E7B" w:rsidP="00BC3E7B">
            <w:pPr>
              <w:numPr>
                <w:ilvl w:val="0"/>
                <w:numId w:val="30"/>
              </w:numPr>
            </w:pPr>
            <w:r w:rsidRPr="00C844D4">
              <w:t>Paper 3 Calculator</w:t>
            </w:r>
          </w:p>
          <w:p w:rsidR="00BC3E7B" w:rsidRPr="00C844D4" w:rsidRDefault="00BC3E7B" w:rsidP="00BC3E7B">
            <w:r w:rsidRPr="00C844D4">
              <w:rPr>
                <w:rFonts w:eastAsia="Times New Roman" w:cstheme="minorHAnsi"/>
                <w:bCs/>
                <w:lang w:val="en" w:eastAsia="en-GB"/>
              </w:rPr>
              <w:t>The exams have no other requirements – any topic covered throughout the year could come up in each of the exams.</w:t>
            </w:r>
          </w:p>
        </w:tc>
      </w:tr>
    </w:tbl>
    <w:p w:rsidR="007E1CAD" w:rsidRDefault="007E1CAD" w:rsidP="007E1CAD">
      <w:pPr>
        <w:pStyle w:val="NoSpacing"/>
      </w:pPr>
    </w:p>
    <w:sectPr w:rsidR="007E1CAD" w:rsidSect="00263038">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C2" w:rsidRDefault="00F867C2" w:rsidP="001722B6">
      <w:pPr>
        <w:spacing w:after="0" w:line="240" w:lineRule="auto"/>
      </w:pPr>
      <w:r>
        <w:separator/>
      </w:r>
    </w:p>
  </w:endnote>
  <w:endnote w:type="continuationSeparator" w:id="0">
    <w:p w:rsidR="00F867C2" w:rsidRDefault="00F867C2" w:rsidP="0017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E7B" w:rsidRDefault="00BC3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E7B" w:rsidRDefault="00BC3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E7B" w:rsidRDefault="00BC3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C2" w:rsidRDefault="00F867C2" w:rsidP="001722B6">
      <w:pPr>
        <w:spacing w:after="0" w:line="240" w:lineRule="auto"/>
      </w:pPr>
      <w:r>
        <w:separator/>
      </w:r>
    </w:p>
  </w:footnote>
  <w:footnote w:type="continuationSeparator" w:id="0">
    <w:p w:rsidR="00F867C2" w:rsidRDefault="00F867C2" w:rsidP="00172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E7B" w:rsidRDefault="00BC3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AD" w:rsidRDefault="007E1CAD" w:rsidP="007E1CAD">
    <w:pPr>
      <w:pStyle w:val="NoSpacing"/>
    </w:pPr>
    <w:r w:rsidRPr="006C6FF8">
      <w:rPr>
        <w:rFonts w:ascii="Calibri" w:hAnsi="Calibri"/>
        <w:noProof/>
        <w:color w:val="002060"/>
        <w:sz w:val="52"/>
        <w:szCs w:val="24"/>
        <w:lang w:eastAsia="en-GB"/>
      </w:rPr>
      <w:drawing>
        <wp:anchor distT="0" distB="0" distL="114300" distR="114300" simplePos="0" relativeHeight="251661312" behindDoc="1" locked="0" layoutInCell="1" allowOverlap="1" wp14:anchorId="42660B5C" wp14:editId="5FCEA0E9">
          <wp:simplePos x="0" y="0"/>
          <wp:positionH relativeFrom="margin">
            <wp:posOffset>8559105</wp:posOffset>
          </wp:positionH>
          <wp:positionV relativeFrom="paragraph">
            <wp:posOffset>-50560</wp:posOffset>
          </wp:positionV>
          <wp:extent cx="1118870" cy="629285"/>
          <wp:effectExtent l="0" t="0" r="5080" b="0"/>
          <wp:wrapTight wrapText="bothSides">
            <wp:wrapPolygon edited="0">
              <wp:start x="9194" y="0"/>
              <wp:lineTo x="0" y="2616"/>
              <wp:lineTo x="0" y="10462"/>
              <wp:lineTo x="1839" y="20924"/>
              <wp:lineTo x="4045" y="20924"/>
              <wp:lineTo x="18020" y="20924"/>
              <wp:lineTo x="21330" y="18963"/>
              <wp:lineTo x="21330" y="3269"/>
              <wp:lineTo x="12872" y="0"/>
              <wp:lineTo x="919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870" cy="629285"/>
                  </a:xfrm>
                  <a:prstGeom prst="rect">
                    <a:avLst/>
                  </a:prstGeom>
                </pic:spPr>
              </pic:pic>
            </a:graphicData>
          </a:graphic>
          <wp14:sizeRelH relativeFrom="page">
            <wp14:pctWidth>0</wp14:pctWidth>
          </wp14:sizeRelH>
          <wp14:sizeRelV relativeFrom="page">
            <wp14:pctHeight>0</wp14:pctHeight>
          </wp14:sizeRelV>
        </wp:anchor>
      </w:drawing>
    </w:r>
    <w:r w:rsidRPr="006C6FF8">
      <w:rPr>
        <w:rFonts w:ascii="Calibri" w:hAnsi="Calibri"/>
        <w:noProof/>
        <w:color w:val="002060"/>
        <w:sz w:val="52"/>
        <w:szCs w:val="24"/>
        <w:lang w:eastAsia="en-GB"/>
      </w:rPr>
      <w:drawing>
        <wp:anchor distT="0" distB="0" distL="114300" distR="114300" simplePos="0" relativeHeight="251659264" behindDoc="1" locked="0" layoutInCell="1" allowOverlap="1" wp14:anchorId="7D13C392" wp14:editId="7A42B1CB">
          <wp:simplePos x="0" y="0"/>
          <wp:positionH relativeFrom="margin">
            <wp:posOffset>-828364</wp:posOffset>
          </wp:positionH>
          <wp:positionV relativeFrom="paragraph">
            <wp:posOffset>-96281</wp:posOffset>
          </wp:positionV>
          <wp:extent cx="1118870" cy="629285"/>
          <wp:effectExtent l="0" t="0" r="5080" b="0"/>
          <wp:wrapTight wrapText="bothSides">
            <wp:wrapPolygon edited="0">
              <wp:start x="9194" y="0"/>
              <wp:lineTo x="0" y="2616"/>
              <wp:lineTo x="0" y="10462"/>
              <wp:lineTo x="1839" y="20924"/>
              <wp:lineTo x="4045" y="20924"/>
              <wp:lineTo x="18020" y="20924"/>
              <wp:lineTo x="21330" y="18963"/>
              <wp:lineTo x="21330" y="3269"/>
              <wp:lineTo x="12872" y="0"/>
              <wp:lineTo x="9194" y="0"/>
            </wp:wrapPolygon>
          </wp:wrapTight>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870" cy="629285"/>
                  </a:xfrm>
                  <a:prstGeom prst="rect">
                    <a:avLst/>
                  </a:prstGeom>
                </pic:spPr>
              </pic:pic>
            </a:graphicData>
          </a:graphic>
          <wp14:sizeRelH relativeFrom="page">
            <wp14:pctWidth>0</wp14:pctWidth>
          </wp14:sizeRelH>
          <wp14:sizeRelV relativeFrom="page">
            <wp14:pctHeight>0</wp14:pctHeight>
          </wp14:sizeRelV>
        </wp:anchor>
      </w:drawing>
    </w:r>
  </w:p>
  <w:p w:rsidR="007E1CAD" w:rsidRPr="00F52B93" w:rsidRDefault="007E1CAD" w:rsidP="007E1CAD">
    <w:pPr>
      <w:pStyle w:val="Header"/>
      <w:jc w:val="center"/>
      <w:rPr>
        <w:i/>
      </w:rPr>
    </w:pPr>
    <w:r w:rsidRPr="00985A2C">
      <w:rPr>
        <w:b/>
        <w:color w:val="FFFFFF" w:themeColor="background1"/>
        <w:sz w:val="36"/>
        <w:shd w:val="clear" w:color="auto" w:fill="7030A0"/>
      </w:rPr>
      <w:t xml:space="preserve">CURRICULUM </w:t>
    </w:r>
    <w:r>
      <w:rPr>
        <w:b/>
        <w:color w:val="FFFFFF" w:themeColor="background1"/>
        <w:sz w:val="36"/>
        <w:shd w:val="clear" w:color="auto" w:fill="7030A0"/>
      </w:rPr>
      <w:t>OVERVIEW</w:t>
    </w:r>
    <w:r w:rsidRPr="00985A2C">
      <w:rPr>
        <w:b/>
        <w:color w:val="FFFFFF" w:themeColor="background1"/>
        <w:sz w:val="36"/>
        <w:shd w:val="clear" w:color="auto" w:fill="7030A0"/>
      </w:rPr>
      <w:t>:</w:t>
    </w:r>
    <w:r>
      <w:rPr>
        <w:b/>
        <w:color w:val="FFFFFF" w:themeColor="background1"/>
        <w:sz w:val="36"/>
        <w:shd w:val="clear" w:color="auto" w:fill="7030A0"/>
      </w:rPr>
      <w:t xml:space="preserve"> </w:t>
    </w:r>
    <w:r w:rsidR="00BC3E7B">
      <w:rPr>
        <w:b/>
        <w:color w:val="FFFFFF" w:themeColor="background1"/>
        <w:sz w:val="36"/>
        <w:shd w:val="clear" w:color="auto" w:fill="7030A0"/>
      </w:rPr>
      <w:t>KS4 Maths</w:t>
    </w:r>
  </w:p>
  <w:p w:rsidR="007E1CAD" w:rsidRDefault="007E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E7B" w:rsidRDefault="00BC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AC0"/>
    <w:multiLevelType w:val="hybridMultilevel"/>
    <w:tmpl w:val="9380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52904"/>
    <w:multiLevelType w:val="hybridMultilevel"/>
    <w:tmpl w:val="BE345116"/>
    <w:lvl w:ilvl="0" w:tplc="7AA454AC">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43F8F"/>
    <w:multiLevelType w:val="hybridMultilevel"/>
    <w:tmpl w:val="92C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16B6E"/>
    <w:multiLevelType w:val="hybridMultilevel"/>
    <w:tmpl w:val="3004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6485D"/>
    <w:multiLevelType w:val="hybridMultilevel"/>
    <w:tmpl w:val="C582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94CE2"/>
    <w:multiLevelType w:val="hybridMultilevel"/>
    <w:tmpl w:val="62CE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7C29"/>
    <w:multiLevelType w:val="hybridMultilevel"/>
    <w:tmpl w:val="FB1C2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32FA3"/>
    <w:multiLevelType w:val="hybridMultilevel"/>
    <w:tmpl w:val="0262C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0E2A0A"/>
    <w:multiLevelType w:val="hybridMultilevel"/>
    <w:tmpl w:val="D6DA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24461"/>
    <w:multiLevelType w:val="hybridMultilevel"/>
    <w:tmpl w:val="1BEA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B1533"/>
    <w:multiLevelType w:val="hybridMultilevel"/>
    <w:tmpl w:val="E6D4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E3268"/>
    <w:multiLevelType w:val="hybridMultilevel"/>
    <w:tmpl w:val="EE5A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41C28"/>
    <w:multiLevelType w:val="hybridMultilevel"/>
    <w:tmpl w:val="BC50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B146D"/>
    <w:multiLevelType w:val="hybridMultilevel"/>
    <w:tmpl w:val="A6C8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9227E"/>
    <w:multiLevelType w:val="hybridMultilevel"/>
    <w:tmpl w:val="FE9EC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217FE8"/>
    <w:multiLevelType w:val="hybridMultilevel"/>
    <w:tmpl w:val="367C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1387F"/>
    <w:multiLevelType w:val="hybridMultilevel"/>
    <w:tmpl w:val="3424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02839"/>
    <w:multiLevelType w:val="hybridMultilevel"/>
    <w:tmpl w:val="7772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033E9"/>
    <w:multiLevelType w:val="hybridMultilevel"/>
    <w:tmpl w:val="4FA2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840B5"/>
    <w:multiLevelType w:val="hybridMultilevel"/>
    <w:tmpl w:val="55CCFD9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0" w15:restartNumberingAfterBreak="0">
    <w:nsid w:val="5B7D1B1E"/>
    <w:multiLevelType w:val="hybridMultilevel"/>
    <w:tmpl w:val="E906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7697E"/>
    <w:multiLevelType w:val="hybridMultilevel"/>
    <w:tmpl w:val="C9CA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F05CD"/>
    <w:multiLevelType w:val="hybridMultilevel"/>
    <w:tmpl w:val="74A4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54727"/>
    <w:multiLevelType w:val="hybridMultilevel"/>
    <w:tmpl w:val="BD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12B9D"/>
    <w:multiLevelType w:val="hybridMultilevel"/>
    <w:tmpl w:val="E5D0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9E7970"/>
    <w:multiLevelType w:val="hybridMultilevel"/>
    <w:tmpl w:val="2CA4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3684D"/>
    <w:multiLevelType w:val="hybridMultilevel"/>
    <w:tmpl w:val="315C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92C17"/>
    <w:multiLevelType w:val="hybridMultilevel"/>
    <w:tmpl w:val="4E72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8771D"/>
    <w:multiLevelType w:val="hybridMultilevel"/>
    <w:tmpl w:val="EDB0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16575"/>
    <w:multiLevelType w:val="hybridMultilevel"/>
    <w:tmpl w:val="FEB2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909EB"/>
    <w:multiLevelType w:val="hybridMultilevel"/>
    <w:tmpl w:val="46D0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FD647E"/>
    <w:multiLevelType w:val="hybridMultilevel"/>
    <w:tmpl w:val="EBF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0"/>
  </w:num>
  <w:num w:numId="4">
    <w:abstractNumId w:val="29"/>
  </w:num>
  <w:num w:numId="5">
    <w:abstractNumId w:val="23"/>
  </w:num>
  <w:num w:numId="6">
    <w:abstractNumId w:val="0"/>
  </w:num>
  <w:num w:numId="7">
    <w:abstractNumId w:val="9"/>
  </w:num>
  <w:num w:numId="8">
    <w:abstractNumId w:val="27"/>
  </w:num>
  <w:num w:numId="9">
    <w:abstractNumId w:val="3"/>
  </w:num>
  <w:num w:numId="10">
    <w:abstractNumId w:val="13"/>
  </w:num>
  <w:num w:numId="11">
    <w:abstractNumId w:val="28"/>
  </w:num>
  <w:num w:numId="12">
    <w:abstractNumId w:val="17"/>
  </w:num>
  <w:num w:numId="13">
    <w:abstractNumId w:val="8"/>
  </w:num>
  <w:num w:numId="14">
    <w:abstractNumId w:val="31"/>
  </w:num>
  <w:num w:numId="15">
    <w:abstractNumId w:val="15"/>
  </w:num>
  <w:num w:numId="16">
    <w:abstractNumId w:val="20"/>
  </w:num>
  <w:num w:numId="17">
    <w:abstractNumId w:val="12"/>
  </w:num>
  <w:num w:numId="18">
    <w:abstractNumId w:val="19"/>
  </w:num>
  <w:num w:numId="19">
    <w:abstractNumId w:val="6"/>
  </w:num>
  <w:num w:numId="20">
    <w:abstractNumId w:val="25"/>
  </w:num>
  <w:num w:numId="21">
    <w:abstractNumId w:val="18"/>
  </w:num>
  <w:num w:numId="22">
    <w:abstractNumId w:val="5"/>
  </w:num>
  <w:num w:numId="23">
    <w:abstractNumId w:val="16"/>
  </w:num>
  <w:num w:numId="24">
    <w:abstractNumId w:val="11"/>
  </w:num>
  <w:num w:numId="25">
    <w:abstractNumId w:val="1"/>
  </w:num>
  <w:num w:numId="26">
    <w:abstractNumId w:val="21"/>
  </w:num>
  <w:num w:numId="27">
    <w:abstractNumId w:val="22"/>
  </w:num>
  <w:num w:numId="28">
    <w:abstractNumId w:val="24"/>
  </w:num>
  <w:num w:numId="29">
    <w:abstractNumId w:val="7"/>
  </w:num>
  <w:num w:numId="30">
    <w:abstractNumId w:val="14"/>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B6"/>
    <w:rsid w:val="00005424"/>
    <w:rsid w:val="000157A3"/>
    <w:rsid w:val="00020041"/>
    <w:rsid w:val="00023A50"/>
    <w:rsid w:val="000240BF"/>
    <w:rsid w:val="00036CA6"/>
    <w:rsid w:val="0004683B"/>
    <w:rsid w:val="00077A07"/>
    <w:rsid w:val="000B5935"/>
    <w:rsid w:val="000D2736"/>
    <w:rsid w:val="000D32F0"/>
    <w:rsid w:val="000E7EC3"/>
    <w:rsid w:val="000F3273"/>
    <w:rsid w:val="000F5D79"/>
    <w:rsid w:val="00102271"/>
    <w:rsid w:val="001112EA"/>
    <w:rsid w:val="001221D6"/>
    <w:rsid w:val="001651B1"/>
    <w:rsid w:val="00165FE3"/>
    <w:rsid w:val="00172158"/>
    <w:rsid w:val="001722B6"/>
    <w:rsid w:val="00185559"/>
    <w:rsid w:val="00195AA2"/>
    <w:rsid w:val="001A00EF"/>
    <w:rsid w:val="001B753B"/>
    <w:rsid w:val="001F4566"/>
    <w:rsid w:val="001F7D8F"/>
    <w:rsid w:val="002240AC"/>
    <w:rsid w:val="0025513F"/>
    <w:rsid w:val="00263038"/>
    <w:rsid w:val="00276378"/>
    <w:rsid w:val="002919F9"/>
    <w:rsid w:val="002A341C"/>
    <w:rsid w:val="002A3D44"/>
    <w:rsid w:val="002E515D"/>
    <w:rsid w:val="0030138F"/>
    <w:rsid w:val="003074A5"/>
    <w:rsid w:val="00307C4F"/>
    <w:rsid w:val="003202E9"/>
    <w:rsid w:val="003245F0"/>
    <w:rsid w:val="00334318"/>
    <w:rsid w:val="003522E6"/>
    <w:rsid w:val="003571AC"/>
    <w:rsid w:val="00375F59"/>
    <w:rsid w:val="00390819"/>
    <w:rsid w:val="003A2885"/>
    <w:rsid w:val="003A596E"/>
    <w:rsid w:val="003B4010"/>
    <w:rsid w:val="003B4D40"/>
    <w:rsid w:val="003C08E3"/>
    <w:rsid w:val="003D22F9"/>
    <w:rsid w:val="00405489"/>
    <w:rsid w:val="0040642B"/>
    <w:rsid w:val="004079E6"/>
    <w:rsid w:val="004462C9"/>
    <w:rsid w:val="004955A0"/>
    <w:rsid w:val="004A46F9"/>
    <w:rsid w:val="004A59B7"/>
    <w:rsid w:val="004B49B1"/>
    <w:rsid w:val="00501630"/>
    <w:rsid w:val="00512387"/>
    <w:rsid w:val="00515910"/>
    <w:rsid w:val="00542463"/>
    <w:rsid w:val="00551193"/>
    <w:rsid w:val="005550D0"/>
    <w:rsid w:val="0057764E"/>
    <w:rsid w:val="0059321E"/>
    <w:rsid w:val="00593330"/>
    <w:rsid w:val="005B17C6"/>
    <w:rsid w:val="005B3163"/>
    <w:rsid w:val="005B498F"/>
    <w:rsid w:val="005C4558"/>
    <w:rsid w:val="005C5559"/>
    <w:rsid w:val="005D3D4F"/>
    <w:rsid w:val="005E1EB2"/>
    <w:rsid w:val="00627654"/>
    <w:rsid w:val="0067435C"/>
    <w:rsid w:val="00686DF0"/>
    <w:rsid w:val="00687234"/>
    <w:rsid w:val="006A3166"/>
    <w:rsid w:val="006B5E2A"/>
    <w:rsid w:val="006C352C"/>
    <w:rsid w:val="006C7342"/>
    <w:rsid w:val="00706A3E"/>
    <w:rsid w:val="00727D91"/>
    <w:rsid w:val="0073610C"/>
    <w:rsid w:val="007478E8"/>
    <w:rsid w:val="00754B6F"/>
    <w:rsid w:val="00767316"/>
    <w:rsid w:val="00774748"/>
    <w:rsid w:val="00794071"/>
    <w:rsid w:val="0079775A"/>
    <w:rsid w:val="007B498E"/>
    <w:rsid w:val="007E1CAD"/>
    <w:rsid w:val="0080129F"/>
    <w:rsid w:val="00815578"/>
    <w:rsid w:val="00826917"/>
    <w:rsid w:val="00835A0B"/>
    <w:rsid w:val="0084050D"/>
    <w:rsid w:val="00856028"/>
    <w:rsid w:val="00856CDD"/>
    <w:rsid w:val="00871D79"/>
    <w:rsid w:val="008809FE"/>
    <w:rsid w:val="008A69EA"/>
    <w:rsid w:val="008C7AA7"/>
    <w:rsid w:val="008D1D8A"/>
    <w:rsid w:val="009140BF"/>
    <w:rsid w:val="00932A95"/>
    <w:rsid w:val="0095170A"/>
    <w:rsid w:val="00972250"/>
    <w:rsid w:val="00973F02"/>
    <w:rsid w:val="00985A2C"/>
    <w:rsid w:val="00987514"/>
    <w:rsid w:val="00996F37"/>
    <w:rsid w:val="009A6E1F"/>
    <w:rsid w:val="009B3B45"/>
    <w:rsid w:val="009D5429"/>
    <w:rsid w:val="009E0732"/>
    <w:rsid w:val="009E6121"/>
    <w:rsid w:val="00A03A48"/>
    <w:rsid w:val="00A040AD"/>
    <w:rsid w:val="00A3107D"/>
    <w:rsid w:val="00A32954"/>
    <w:rsid w:val="00A55BC1"/>
    <w:rsid w:val="00A76E5D"/>
    <w:rsid w:val="00A86A38"/>
    <w:rsid w:val="00AA3044"/>
    <w:rsid w:val="00AC17E6"/>
    <w:rsid w:val="00AD01ED"/>
    <w:rsid w:val="00B00419"/>
    <w:rsid w:val="00B0291D"/>
    <w:rsid w:val="00B114BF"/>
    <w:rsid w:val="00B26363"/>
    <w:rsid w:val="00B4456E"/>
    <w:rsid w:val="00B46759"/>
    <w:rsid w:val="00B57547"/>
    <w:rsid w:val="00B74753"/>
    <w:rsid w:val="00BA5742"/>
    <w:rsid w:val="00BC3E7B"/>
    <w:rsid w:val="00BC4603"/>
    <w:rsid w:val="00BD6BC1"/>
    <w:rsid w:val="00C2529B"/>
    <w:rsid w:val="00C36E16"/>
    <w:rsid w:val="00C43877"/>
    <w:rsid w:val="00C45CB5"/>
    <w:rsid w:val="00C51DD2"/>
    <w:rsid w:val="00C772E1"/>
    <w:rsid w:val="00C844D4"/>
    <w:rsid w:val="00CB140E"/>
    <w:rsid w:val="00D00886"/>
    <w:rsid w:val="00D52C9D"/>
    <w:rsid w:val="00D562D7"/>
    <w:rsid w:val="00D760E7"/>
    <w:rsid w:val="00DA4BA3"/>
    <w:rsid w:val="00DA722E"/>
    <w:rsid w:val="00DB257F"/>
    <w:rsid w:val="00DD0C94"/>
    <w:rsid w:val="00DE0AB5"/>
    <w:rsid w:val="00E4707D"/>
    <w:rsid w:val="00E61855"/>
    <w:rsid w:val="00E619F8"/>
    <w:rsid w:val="00E65B38"/>
    <w:rsid w:val="00E72DA8"/>
    <w:rsid w:val="00EB342E"/>
    <w:rsid w:val="00EB7FD3"/>
    <w:rsid w:val="00EC277E"/>
    <w:rsid w:val="00EC3139"/>
    <w:rsid w:val="00EF1271"/>
    <w:rsid w:val="00EF29BD"/>
    <w:rsid w:val="00EF6447"/>
    <w:rsid w:val="00EF6824"/>
    <w:rsid w:val="00EF6960"/>
    <w:rsid w:val="00EF6AEB"/>
    <w:rsid w:val="00F02669"/>
    <w:rsid w:val="00F1139C"/>
    <w:rsid w:val="00F13CE4"/>
    <w:rsid w:val="00F34ACF"/>
    <w:rsid w:val="00F376A8"/>
    <w:rsid w:val="00F37ECC"/>
    <w:rsid w:val="00F42924"/>
    <w:rsid w:val="00F52B93"/>
    <w:rsid w:val="00F62571"/>
    <w:rsid w:val="00F63AC2"/>
    <w:rsid w:val="00F674C8"/>
    <w:rsid w:val="00F73541"/>
    <w:rsid w:val="00F73FCE"/>
    <w:rsid w:val="00F83931"/>
    <w:rsid w:val="00F86595"/>
    <w:rsid w:val="00F867C2"/>
    <w:rsid w:val="00FA60C1"/>
    <w:rsid w:val="00FC198C"/>
    <w:rsid w:val="00FC6823"/>
    <w:rsid w:val="00FD3304"/>
    <w:rsid w:val="00FE5BBA"/>
    <w:rsid w:val="00FF100F"/>
    <w:rsid w:val="00FF4653"/>
    <w:rsid w:val="00FF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DD765C"/>
  <w15:chartTrackingRefBased/>
  <w15:docId w15:val="{ACB26C6D-107B-46C6-80B8-72490987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2B6"/>
    <w:pPr>
      <w:spacing w:after="0" w:line="240" w:lineRule="auto"/>
    </w:pPr>
  </w:style>
  <w:style w:type="table" w:styleId="TableGrid">
    <w:name w:val="Table Grid"/>
    <w:basedOn w:val="TableNormal"/>
    <w:uiPriority w:val="39"/>
    <w:rsid w:val="0017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2B6"/>
  </w:style>
  <w:style w:type="paragraph" w:styleId="Footer">
    <w:name w:val="footer"/>
    <w:basedOn w:val="Normal"/>
    <w:link w:val="FooterChar"/>
    <w:uiPriority w:val="99"/>
    <w:unhideWhenUsed/>
    <w:rsid w:val="00172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2B6"/>
  </w:style>
  <w:style w:type="paragraph" w:styleId="ListParagraph">
    <w:name w:val="List Paragraph"/>
    <w:basedOn w:val="Normal"/>
    <w:uiPriority w:val="34"/>
    <w:qFormat/>
    <w:rsid w:val="00FF100F"/>
    <w:pPr>
      <w:ind w:left="720"/>
      <w:contextualSpacing/>
    </w:pPr>
  </w:style>
  <w:style w:type="paragraph" w:styleId="CommentText">
    <w:name w:val="annotation text"/>
    <w:basedOn w:val="Normal"/>
    <w:link w:val="CommentTextChar"/>
    <w:uiPriority w:val="99"/>
    <w:unhideWhenUsed/>
    <w:rsid w:val="005B498F"/>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5B498F"/>
    <w:rPr>
      <w:rFonts w:ascii="Calibri" w:hAnsi="Calibri" w:cs="Times New Roman"/>
      <w:sz w:val="20"/>
      <w:szCs w:val="20"/>
    </w:rPr>
  </w:style>
  <w:style w:type="paragraph" w:styleId="BalloonText">
    <w:name w:val="Balloon Text"/>
    <w:basedOn w:val="Normal"/>
    <w:link w:val="BalloonTextChar"/>
    <w:uiPriority w:val="99"/>
    <w:semiHidden/>
    <w:unhideWhenUsed/>
    <w:rsid w:val="00B4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6E"/>
    <w:rPr>
      <w:rFonts w:ascii="Segoe UI" w:hAnsi="Segoe UI" w:cs="Segoe UI"/>
      <w:sz w:val="18"/>
      <w:szCs w:val="18"/>
    </w:rPr>
  </w:style>
  <w:style w:type="table" w:customStyle="1" w:styleId="TableGrid1">
    <w:name w:val="Table Grid1"/>
    <w:basedOn w:val="TableNormal"/>
    <w:next w:val="TableGrid"/>
    <w:uiPriority w:val="39"/>
    <w:rsid w:val="00BC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AAE2-B407-4A89-9B8A-1C15FBF7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Elmes</dc:creator>
  <cp:keywords/>
  <dc:description/>
  <cp:lastModifiedBy>Ian Walsh</cp:lastModifiedBy>
  <cp:revision>2</cp:revision>
  <cp:lastPrinted>2018-07-18T12:35:00Z</cp:lastPrinted>
  <dcterms:created xsi:type="dcterms:W3CDTF">2020-01-07T19:40:00Z</dcterms:created>
  <dcterms:modified xsi:type="dcterms:W3CDTF">2020-01-07T19:40:00Z</dcterms:modified>
</cp:coreProperties>
</file>